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74D5B" w:rsidTr="1B2F9B48" w14:paraId="0A85BC14" w14:textId="77777777">
            <w:tc>
              <w:tcPr>
                <w:tcW w:w="7197"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E92E4A" w:rsidTr="1B2F9B48" w14:paraId="0A48CBD7" w14:textId="77777777">
            <w:tc>
              <w:tcPr>
                <w:tcW w:w="7197" w:type="dxa"/>
                <w:tcMar/>
              </w:tcPr>
              <w:p w:rsidR="00E92E4A" w:rsidP="00E92E4A" w:rsidRDefault="00E92E4A" w14:paraId="19A15B9C" w14:textId="77777777">
                <w:pPr>
                  <w:pStyle w:val="NoSpacing"/>
                  <w:spacing w:line="216" w:lineRule="auto"/>
                  <w:jc w:val="left"/>
                  <w:rPr>
                    <w:b/>
                    <w:bCs/>
                    <w:color w:val="007559" w:themeColor="accent1"/>
                    <w:sz w:val="48"/>
                    <w:szCs w:val="48"/>
                  </w:rPr>
                </w:pPr>
                <w:r w:rsidRPr="00FB4C25">
                  <w:rPr>
                    <w:b/>
                    <w:bCs/>
                    <w:color w:val="007559" w:themeColor="accent1"/>
                    <w:sz w:val="48"/>
                    <w:szCs w:val="48"/>
                  </w:rPr>
                  <w:t xml:space="preserve">ECT Programme Mentor Support Materials – </w:t>
                </w:r>
                <w:r>
                  <w:rPr>
                    <w:b/>
                    <w:bCs/>
                    <w:color w:val="007559" w:themeColor="accent1"/>
                    <w:sz w:val="48"/>
                    <w:szCs w:val="48"/>
                  </w:rPr>
                  <w:t>Subject and curriculum</w:t>
                </w:r>
              </w:p>
              <w:p w:rsidRPr="007A567F" w:rsidR="00E92E4A" w:rsidP="00E92E4A" w:rsidRDefault="00E92E4A" w14:paraId="478D1419" w14:textId="1DA6DED3">
                <w:pPr>
                  <w:pStyle w:val="NoSpacing"/>
                  <w:spacing w:line="216" w:lineRule="auto"/>
                  <w:jc w:val="left"/>
                  <w:rPr>
                    <w:rFonts w:asciiTheme="majorHAnsi" w:hAnsiTheme="majorHAnsi" w:eastAsiaTheme="majorEastAsia" w:cstheme="majorBidi"/>
                    <w:color w:val="007559" w:themeColor="accent1"/>
                    <w:sz w:val="56"/>
                    <w:szCs w:val="56"/>
                  </w:rPr>
                </w:pPr>
                <w:r>
                  <w:rPr>
                    <w:b/>
                    <w:bCs/>
                    <w:color w:val="007559" w:themeColor="accent1"/>
                    <w:sz w:val="48"/>
                    <w:szCs w:val="48"/>
                  </w:rPr>
                  <w:t>E</w:t>
                </w:r>
                <w:r w:rsidRPr="00FB4C25">
                  <w:rPr>
                    <w:b/>
                    <w:bCs/>
                    <w:color w:val="007559" w:themeColor="accent1"/>
                    <w:sz w:val="48"/>
                    <w:szCs w:val="48"/>
                  </w:rPr>
                  <w:t xml:space="preserve">lective self-study </w:t>
                </w:r>
                <w:r>
                  <w:rPr>
                    <w:b/>
                    <w:bCs/>
                    <w:color w:val="007559" w:themeColor="accent1"/>
                    <w:sz w:val="48"/>
                    <w:szCs w:val="48"/>
                  </w:rPr>
                  <w:t>5</w:t>
                </w:r>
              </w:p>
            </w:tc>
          </w:tr>
          <w:tr w:rsidRPr="0061531D" w:rsidR="00E92E4A" w:rsidTr="1B2F9B48" w14:paraId="6D81EF19" w14:textId="77777777">
            <w:tc>
              <w:tcPr>
                <w:tcW w:w="7197" w:type="dxa"/>
                <w:tcMar>
                  <w:top w:w="216" w:type="dxa"/>
                  <w:left w:w="115" w:type="dxa"/>
                  <w:bottom w:w="216" w:type="dxa"/>
                  <w:right w:w="115" w:type="dxa"/>
                </w:tcMar>
              </w:tcPr>
              <w:p w:rsidR="00E92E4A" w:rsidP="00E92E4A" w:rsidRDefault="00E92E4A" w14:paraId="1A761444" w14:textId="4F6A55F5">
                <w:pPr>
                  <w:pStyle w:val="NoSpacing"/>
                  <w:jc w:val="left"/>
                  <w:rPr>
                    <w:b/>
                    <w:bCs/>
                    <w:color w:val="007559" w:themeColor="accent1"/>
                    <w:sz w:val="48"/>
                    <w:szCs w:val="48"/>
                  </w:rPr>
                </w:pPr>
                <w:r>
                  <w:rPr>
                    <w:b/>
                    <w:bCs/>
                    <w:color w:val="007559" w:themeColor="accent1"/>
                    <w:sz w:val="48"/>
                    <w:szCs w:val="48"/>
                  </w:rPr>
                  <w:t>Enhancing all pupil’s literacy</w:t>
                </w:r>
              </w:p>
              <w:p w:rsidR="00E92E4A" w:rsidP="00E92E4A" w:rsidRDefault="00E92E4A" w14:paraId="3EF42448" w14:textId="77777777">
                <w:pPr>
                  <w:pStyle w:val="NoSpacing"/>
                  <w:jc w:val="left"/>
                  <w:rPr>
                    <w:b/>
                    <w:bCs/>
                    <w:color w:val="007559" w:themeColor="accent1"/>
                    <w:sz w:val="24"/>
                  </w:rPr>
                </w:pPr>
              </w:p>
              <w:p w:rsidR="00E92E4A" w:rsidP="00E92E4A" w:rsidRDefault="00E92E4A" w14:paraId="3720C51C" w14:textId="77777777">
                <w:pPr>
                  <w:pStyle w:val="Subheading"/>
                </w:pPr>
                <w:r>
                  <w:t>Approximate reading time: 15 minutes</w:t>
                </w:r>
              </w:p>
              <w:tbl>
                <w:tblPr>
                  <w:tblStyle w:val="TableGrid"/>
                  <w:tblpPr w:leftFromText="180" w:rightFromText="180" w:vertAnchor="text" w:horzAnchor="page" w:tblpX="1711" w:tblpY="647"/>
                  <w:tblOverlap w:val="never"/>
                  <w:tblW w:w="0" w:type="auto"/>
                  <w:shd w:val="clear" w:color="auto" w:fill="007559" w:themeFill="accent1"/>
                  <w:tblLook w:val="04A0" w:firstRow="1" w:lastRow="0" w:firstColumn="1" w:lastColumn="0" w:noHBand="0" w:noVBand="1"/>
                </w:tblPr>
                <w:tblGrid>
                  <w:gridCol w:w="6957"/>
                </w:tblGrid>
                <w:tr w:rsidRPr="00D05CB8" w:rsidR="00054721" w:rsidTr="1B2F9B48" w14:paraId="395AFEBA" w14:textId="77777777">
                  <w:tc>
                    <w:tcPr>
                      <w:tcW w:w="6957" w:type="dxa"/>
                      <w:shd w:val="clear" w:color="auto" w:fill="007559" w:themeFill="accent1"/>
                      <w:tcMar/>
                    </w:tcPr>
                    <w:p w:rsidR="00054721" w:rsidP="1B2F9B48" w:rsidRDefault="00054721" w14:paraId="71D76E7A" w14:textId="6F480E88">
                      <w:pPr>
                        <w:pStyle w:val="NoSpacing"/>
                        <w:spacing w:line="276" w:lineRule="auto"/>
                        <w:jc w:val="left"/>
                        <w:rPr>
                          <w:rFonts w:cs="Tahoma"/>
                          <w:color w:val="FFFFFF" w:themeColor="background1"/>
                        </w:rPr>
                      </w:pPr>
                      <w:r w:rsidRPr="1B2F9B48" w:rsidR="00054721">
                        <w:rPr>
                          <w:color w:val="FFFFFF" w:themeColor="background1" w:themeTint="FF" w:themeShade="FF"/>
                        </w:rPr>
                        <w:t>These self-study materials are intended for use as part of a school-</w:t>
                      </w:r>
                      <w:r w:rsidRPr="1B2F9B48" w:rsidR="00054721">
                        <w:rPr>
                          <w:rFonts w:cs="Tahoma"/>
                          <w:color w:val="FFFFFF" w:themeColor="background1" w:themeTint="FF" w:themeShade="FF"/>
                          <w:lang w:val="en-US"/>
                        </w:rPr>
                        <w:t xml:space="preserve"> This document is intended for those who design and deliver </w:t>
                      </w:r>
                      <w:r w:rsidRPr="1B2F9B48" w:rsidR="00054721">
                        <w:rPr>
                          <w:rFonts w:cs="Tahoma"/>
                          <w:color w:val="FFFFFF" w:themeColor="background1" w:themeTint="FF" w:themeShade="FF"/>
                          <w:lang w:val="en-US"/>
                        </w:rPr>
                        <w:t xml:space="preserve">a </w:t>
                      </w:r>
                      <w:r w:rsidRPr="1B2F9B48" w:rsidR="00054721">
                        <w:rPr>
                          <w:rFonts w:cs="Tahoma"/>
                          <w:color w:val="FFFFFF" w:themeColor="background1" w:themeTint="FF" w:themeShade="FF"/>
                          <w:lang w:val="en-US"/>
                        </w:rPr>
                        <w:t xml:space="preserve">school-based </w:t>
                      </w:r>
                      <w:r w:rsidRPr="1B2F9B48" w:rsidR="00054721">
                        <w:rPr>
                          <w:rFonts w:cs="Tahoma"/>
                          <w:color w:val="FFFFFF" w:themeColor="background1" w:themeTint="FF" w:themeShade="FF"/>
                          <w:lang w:val="en-US"/>
                        </w:rPr>
                        <w:t>ECT Programme</w:t>
                      </w:r>
                      <w:r w:rsidRPr="1B2F9B48" w:rsidR="00054721">
                        <w:rPr>
                          <w:rFonts w:cs="Tahoma"/>
                          <w:color w:val="FFFFFF" w:themeColor="background1" w:themeTint="FF" w:themeShade="FF"/>
                          <w:lang w:val="en-US"/>
                        </w:rPr>
                        <w:t>.</w:t>
                      </w:r>
                      <w:r w:rsidRPr="1B2F9B48" w:rsidR="00054721">
                        <w:rPr>
                          <w:rFonts w:cs="Tahoma"/>
                          <w:color w:val="FFFFFF" w:themeColor="background1" w:themeTint="FF" w:themeShade="FF"/>
                          <w:lang w:val="en-US"/>
                        </w:rPr>
                        <w:t xml:space="preserve"> The</w:t>
                      </w:r>
                      <w:r w:rsidRPr="1B2F9B48" w:rsidR="00054721">
                        <w:rPr>
                          <w:rFonts w:cs="Tahoma"/>
                          <w:color w:val="FFFFFF" w:themeColor="background1" w:themeTint="FF" w:themeShade="FF"/>
                        </w:rPr>
                        <w:t xml:space="preserve"> self-study materials are intended for use </w:t>
                      </w:r>
                      <w:r w:rsidRPr="1B2F9B48" w:rsidR="00054721">
                        <w:rPr>
                          <w:rFonts w:cs="Tahoma"/>
                          <w:color w:val="FFFFFF" w:themeColor="background1" w:themeTint="FF" w:themeShade="FF"/>
                        </w:rPr>
                        <w:t>with</w:t>
                      </w:r>
                      <w:r w:rsidRPr="1B2F9B48" w:rsidR="00054721">
                        <w:rPr>
                          <w:rFonts w:cs="Tahoma"/>
                          <w:color w:val="FFFFFF" w:themeColor="background1" w:themeTint="FF" w:themeShade="FF"/>
                        </w:rPr>
                        <w:t xml:space="preserve"> </w:t>
                      </w:r>
                      <w:r w:rsidRPr="1B2F9B48" w:rsidR="00054721">
                        <w:rPr>
                          <w:rFonts w:cs="Tahoma"/>
                          <w:color w:val="FFFFFF" w:themeColor="background1" w:themeTint="FF" w:themeShade="FF"/>
                          <w:lang w:val="en-US"/>
                        </w:rPr>
                        <w:t>mentors working with early career teachers (ECTs) in year one.</w:t>
                      </w:r>
                      <w:r w:rsidRPr="1B2F9B48" w:rsidR="00054721">
                        <w:rPr>
                          <w:rFonts w:cs="Tahoma"/>
                          <w:color w:val="FFFFFF" w:themeColor="background1" w:themeTint="FF" w:themeShade="FF"/>
                        </w:rPr>
                        <w:t xml:space="preserve"> </w:t>
                      </w:r>
                      <w:r w:rsidRPr="1B2F9B48" w:rsidR="00054721">
                        <w:rPr>
                          <w:rFonts w:cs="Tahoma"/>
                          <w:color w:val="FFFFFF" w:themeColor="background1" w:themeTint="FF" w:themeShade="FF"/>
                        </w:rPr>
                        <w:t>They align with the associate</w:t>
                      </w:r>
                      <w:r w:rsidRPr="1B2F9B48" w:rsidR="1D8F1269">
                        <w:rPr>
                          <w:rFonts w:cs="Tahoma"/>
                          <w:color w:val="FFFFFF" w:themeColor="background1" w:themeTint="FF" w:themeShade="FF"/>
                        </w:rPr>
                        <w:t>d</w:t>
                      </w:r>
                      <w:r w:rsidRPr="1B2F9B48" w:rsidR="00054721">
                        <w:rPr>
                          <w:rFonts w:cs="Tahoma"/>
                          <w:color w:val="FFFFFF" w:themeColor="background1" w:themeTint="FF" w:themeShade="FF"/>
                        </w:rPr>
                        <w:t xml:space="preserve"> ECT elective self-study from this module. </w:t>
                      </w:r>
                    </w:p>
                    <w:p w:rsidR="00054721" w:rsidP="00054721" w:rsidRDefault="00054721" w14:paraId="70B638FA" w14:textId="77777777">
                      <w:pPr>
                        <w:pStyle w:val="NoSpacing"/>
                        <w:spacing w:line="276" w:lineRule="auto"/>
                        <w:jc w:val="left"/>
                        <w:rPr>
                          <w:rFonts w:cs="Tahoma"/>
                          <w:color w:val="FFFFFF" w:themeColor="background1"/>
                          <w:szCs w:val="24"/>
                        </w:rPr>
                      </w:pPr>
                    </w:p>
                    <w:p w:rsidR="00054721" w:rsidP="00054721" w:rsidRDefault="00054721" w14:paraId="7D1AECC0" w14:textId="77777777">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rsidRPr="00D05CB8" w:rsidR="00533546" w:rsidP="00054721" w:rsidRDefault="00533546" w14:paraId="6A5426A2" w14:textId="19B4B600">
                      <w:pPr>
                        <w:pStyle w:val="NoSpacing"/>
                        <w:spacing w:line="276" w:lineRule="auto"/>
                        <w:jc w:val="left"/>
                        <w:rPr>
                          <w:b/>
                          <w:bCs/>
                          <w:color w:val="007559" w:themeColor="accent1"/>
                          <w:sz w:val="44"/>
                          <w:szCs w:val="44"/>
                        </w:rPr>
                      </w:pPr>
                    </w:p>
                  </w:tc>
                </w:tr>
              </w:tbl>
              <w:p w:rsidRPr="0061531D" w:rsidR="00E92E4A" w:rsidP="00E92E4A" w:rsidRDefault="00E92E4A" w14:paraId="25C0B8E5" w14:textId="7866CA91">
                <w:pPr>
                  <w:pStyle w:val="NoSpacing"/>
                  <w:spacing w:line="276" w:lineRule="auto"/>
                  <w:jc w:val="left"/>
                  <w:rPr>
                    <w:b/>
                    <w:bCs/>
                    <w:sz w:val="56"/>
                    <w:szCs w:val="56"/>
                  </w:rPr>
                </w:pPr>
              </w:p>
            </w:tc>
          </w:tr>
          <w:tr w:rsidRPr="0061531D" w:rsidR="0061531D" w:rsidTr="1B2F9B48" w14:paraId="7DE00AF5" w14:textId="77777777">
            <w:tc>
              <w:tcPr>
                <w:tcW w:w="7197" w:type="dxa"/>
                <w:tcMar>
                  <w:top w:w="216" w:type="dxa"/>
                  <w:left w:w="115" w:type="dxa"/>
                  <w:bottom w:w="216" w:type="dxa"/>
                  <w:right w:w="115" w:type="dxa"/>
                </w:tcMar>
              </w:tcPr>
              <w:p w:rsidRPr="0061531D" w:rsidR="00E17EAD" w:rsidRDefault="00E17EAD" w14:paraId="47721017" w14:textId="5F2DDEBA">
                <w:pPr>
                  <w:pStyle w:val="NoSpacing"/>
                  <w:rPr>
                    <w:b/>
                    <w:bCs/>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lastRenderedPageBreak/>
        <w:t>Introduction</w:t>
      </w:r>
    </w:p>
    <w:p w:rsidR="004E1FEE" w:rsidP="004E1FEE" w:rsidRDefault="004E1FEE" w14:paraId="175DBBF4" w14:textId="77777777">
      <w:pPr>
        <w:pStyle w:val="Subsubheading"/>
      </w:pPr>
      <w:r>
        <w:t>Approximate time to complete: 1 minute</w:t>
      </w:r>
    </w:p>
    <w:p w:rsidRPr="000C3F57" w:rsidR="00D9219F" w:rsidP="00D9219F" w:rsidRDefault="00D9219F" w14:paraId="77DC9F7E" w14:textId="62D585A7">
      <w:pPr>
        <w:shd w:val="clear" w:color="auto" w:fill="FFFFFF" w:themeFill="background1"/>
      </w:pPr>
      <w:r>
        <w:t>Welcome to these</w:t>
      </w:r>
      <w:r w:rsidR="00533546">
        <w:t xml:space="preserve"> optional </w:t>
      </w:r>
      <w:r>
        <w:t xml:space="preserve"> mentor </w:t>
      </w:r>
      <w:r w:rsidR="00533546">
        <w:t>support</w:t>
      </w:r>
      <w:r>
        <w:t xml:space="preserve"> materials for </w:t>
      </w:r>
      <w:r w:rsidRPr="00EC3CBC">
        <w:rPr>
          <w:b/>
          <w:bCs/>
        </w:rPr>
        <w:t xml:space="preserve">elective self-study </w:t>
      </w:r>
      <w:r>
        <w:rPr>
          <w:b/>
          <w:bCs/>
        </w:rPr>
        <w:t>5</w:t>
      </w:r>
      <w:r w:rsidRPr="00EC3CBC">
        <w:rPr>
          <w:b/>
          <w:bCs/>
        </w:rPr>
        <w:t xml:space="preserve">: </w:t>
      </w:r>
      <w:r>
        <w:rPr>
          <w:b/>
          <w:bCs/>
        </w:rPr>
        <w:t xml:space="preserve">Enhancing all pupil’s literacy. </w:t>
      </w:r>
      <w:r w:rsidRPr="00EC3CBC">
        <w:t xml:space="preserve">This elective self-study forms part of </w:t>
      </w:r>
      <w:r>
        <w:t>the module relating to</w:t>
      </w:r>
      <w:r w:rsidRPr="000C3F57">
        <w:t xml:space="preserve"> </w:t>
      </w:r>
      <w:r>
        <w:t>‘</w:t>
      </w:r>
      <w:r w:rsidRPr="008117B2">
        <w:rPr>
          <w:b/>
          <w:bCs/>
        </w:rPr>
        <w:t>Subject and curriculum’</w:t>
      </w:r>
      <w:r>
        <w:t xml:space="preserve">. </w:t>
      </w:r>
    </w:p>
    <w:p w:rsidR="00D9219F" w:rsidP="00D9219F" w:rsidRDefault="00D9219F" w14:paraId="65DFA37A"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D9219F" w:rsidP="00D9219F" w:rsidRDefault="00D9219F" w14:paraId="4F8F5F27" w14:textId="77777777">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CB0B54" w:rsidP="00087596" w:rsidRDefault="00CB0B54" w14:paraId="4648432A" w14:textId="13495B22">
      <w:r>
        <w:t xml:space="preserve">Please note, the overview of the ECT self-study material is optional reading. You </w:t>
      </w:r>
      <w:r w:rsidR="000762B6">
        <w:t>can go</w:t>
      </w:r>
      <w:r>
        <w:t xml:space="preserve"> straight to the </w:t>
      </w:r>
      <w:hyperlink w:history="1" w:anchor="Nextsteps">
        <w:r w:rsidRPr="004B1D53">
          <w:rPr>
            <w:rStyle w:val="Hyperlink"/>
            <w:color w:val="0070C0"/>
          </w:rPr>
          <w:t>Next Steps: preparing for your mentoring session</w:t>
        </w:r>
      </w:hyperlink>
      <w:r>
        <w:t xml:space="preserve"> if you wish.  </w:t>
      </w:r>
    </w:p>
    <w:p w:rsidR="00CB0B54" w:rsidP="00CB0B54" w:rsidRDefault="00CB0B54" w14:paraId="5D458F94" w14:textId="415F123A">
      <w:r>
        <w:t xml:space="preserve">If you choose to read this content, we suggest </w:t>
      </w:r>
      <w:r w:rsidR="00BE2F2E">
        <w:t>that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‘Subject and curriculum’.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F10B7F" w:rsidTr="00BC66EC" w14:paraId="0B9EF80A" w14:textId="77777777">
        <w:trPr>
          <w:trHeight w:val="454"/>
        </w:trPr>
        <w:tc>
          <w:tcPr>
            <w:tcW w:w="7508" w:type="dxa"/>
            <w:shd w:val="clear" w:color="auto" w:fill="004B62" w:themeFill="text1"/>
            <w:vAlign w:val="center"/>
          </w:tcPr>
          <w:p w:rsidRPr="004D2E4E" w:rsidR="00F10B7F" w:rsidP="00BC66EC" w:rsidRDefault="00F10B7F" w14:paraId="433CA07C" w14:textId="77777777">
            <w:pPr>
              <w:spacing w:line="276" w:lineRule="auto"/>
              <w:jc w:val="center"/>
              <w:rPr>
                <w:rFonts w:ascii="Tahoma" w:hAnsi="Tahoma" w:cs="Tahoma"/>
                <w:b/>
                <w:bCs/>
                <w:color w:val="FFFFFF" w:themeColor="background1"/>
                <w:szCs w:val="24"/>
              </w:rPr>
            </w:pPr>
            <w:r w:rsidRPr="004D2E4E">
              <w:rPr>
                <w:rFonts w:ascii="Tahoma" w:hAnsi="Tahoma" w:cs="Tahoma"/>
                <w:b/>
                <w:bCs/>
                <w:color w:val="FFFFFF" w:themeColor="background1"/>
                <w:szCs w:val="24"/>
              </w:rPr>
              <w:t>Content</w:t>
            </w:r>
          </w:p>
        </w:tc>
        <w:tc>
          <w:tcPr>
            <w:tcW w:w="1506" w:type="dxa"/>
            <w:shd w:val="clear" w:color="auto" w:fill="004B62" w:themeFill="text1"/>
            <w:vAlign w:val="center"/>
          </w:tcPr>
          <w:p w:rsidRPr="00D0187C" w:rsidR="00F10B7F" w:rsidP="00BC66EC" w:rsidRDefault="00F10B7F" w14:paraId="07E587FF" w14:textId="77777777">
            <w:pPr>
              <w:spacing w:line="276" w:lineRule="auto"/>
              <w:jc w:val="center"/>
              <w:rPr>
                <w:rFonts w:ascii="Tahoma" w:hAnsi="Tahoma" w:cs="Tahoma"/>
                <w:b/>
                <w:bCs/>
                <w:color w:val="FFFFFF" w:themeColor="background1"/>
                <w:szCs w:val="24"/>
                <w:highlight w:val="red"/>
              </w:rPr>
            </w:pPr>
          </w:p>
        </w:tc>
      </w:tr>
      <w:tr w:rsidRPr="004D2E4E" w:rsidR="00F10B7F" w:rsidTr="00BC66EC" w14:paraId="0EF68B62" w14:textId="77777777">
        <w:trPr>
          <w:trHeight w:val="454"/>
        </w:trPr>
        <w:tc>
          <w:tcPr>
            <w:tcW w:w="9014" w:type="dxa"/>
            <w:gridSpan w:val="2"/>
            <w:shd w:val="clear" w:color="auto" w:fill="D4F5FF" w:themeFill="text1" w:themeFillTint="1A"/>
            <w:vAlign w:val="center"/>
          </w:tcPr>
          <w:p w:rsidRPr="00A86E8D" w:rsidR="00F10B7F" w:rsidP="00BC66EC" w:rsidRDefault="007C6DD5" w14:paraId="6C9E4629" w14:textId="632683B4">
            <w:pPr>
              <w:jc w:val="center"/>
              <w:rPr>
                <w:b/>
                <w:bCs/>
              </w:rPr>
            </w:pPr>
            <w:r>
              <w:rPr>
                <w:b/>
                <w:bCs/>
              </w:rPr>
              <w:t>Enhancing all pupils’ literacy</w:t>
            </w:r>
          </w:p>
        </w:tc>
      </w:tr>
      <w:tr w:rsidRPr="004D2E4E" w:rsidR="00F10B7F" w:rsidTr="00BC66EC" w14:paraId="29BACE2E" w14:textId="77777777">
        <w:trPr>
          <w:trHeight w:val="454"/>
        </w:trPr>
        <w:tc>
          <w:tcPr>
            <w:tcW w:w="7508" w:type="dxa"/>
            <w:shd w:val="clear" w:color="auto" w:fill="D4F5FF" w:themeFill="text1" w:themeFillTint="1A"/>
            <w:vAlign w:val="center"/>
          </w:tcPr>
          <w:p w:rsidRPr="00E03696" w:rsidR="00F10B7F" w:rsidP="009F2346" w:rsidRDefault="00100B97" w14:paraId="02FE516D" w14:textId="3388E069">
            <w:pPr>
              <w:rPr>
                <w:rStyle w:val="Hyperlink"/>
                <w:color w:val="0070C0"/>
              </w:rPr>
            </w:pPr>
            <w:r w:rsidRPr="00E03696">
              <w:rPr>
                <w:color w:val="0070C0"/>
              </w:rPr>
              <w:fldChar w:fldCharType="begin"/>
            </w:r>
            <w:r w:rsidR="000762B6">
              <w:rPr>
                <w:color w:val="0070C0"/>
              </w:rPr>
              <w:instrText>HYPERLINK  \l "developinglanguage"</w:instrText>
            </w:r>
            <w:r w:rsidRPr="00E03696">
              <w:rPr>
                <w:color w:val="0070C0"/>
              </w:rPr>
            </w:r>
            <w:r w:rsidRPr="00E03696">
              <w:rPr>
                <w:color w:val="0070C0"/>
              </w:rPr>
              <w:fldChar w:fldCharType="separate"/>
            </w:r>
            <w:r w:rsidRPr="00E03696" w:rsidR="009F2346">
              <w:rPr>
                <w:rStyle w:val="Hyperlink"/>
                <w:color w:val="0070C0"/>
              </w:rPr>
              <w:t>Developing language</w:t>
            </w:r>
          </w:p>
          <w:p w:rsidRPr="00E03696" w:rsidR="009F2346" w:rsidP="009F2346" w:rsidRDefault="00100B97" w14:paraId="7E59E5C3" w14:textId="37982BFF">
            <w:pPr>
              <w:rPr>
                <w:color w:val="0070C0"/>
              </w:rPr>
            </w:pPr>
            <w:r w:rsidRPr="00E03696">
              <w:rPr>
                <w:color w:val="0070C0"/>
              </w:rPr>
              <w:fldChar w:fldCharType="end"/>
            </w:r>
          </w:p>
        </w:tc>
        <w:tc>
          <w:tcPr>
            <w:tcW w:w="1506" w:type="dxa"/>
            <w:shd w:val="clear" w:color="auto" w:fill="D4F5FF" w:themeFill="text1" w:themeFillTint="1A"/>
          </w:tcPr>
          <w:p w:rsidR="00F10B7F" w:rsidP="00BC66EC" w:rsidRDefault="00F10B7F" w14:paraId="59D05E34" w14:textId="77777777">
            <w:r w:rsidRPr="00F15AF8">
              <w:t>Page</w:t>
            </w:r>
            <w:r>
              <w:t xml:space="preserve"> 2</w:t>
            </w:r>
          </w:p>
        </w:tc>
      </w:tr>
      <w:tr w:rsidRPr="004D2E4E" w:rsidR="00F10B7F" w:rsidTr="00BC66EC" w14:paraId="472EA136" w14:textId="77777777">
        <w:trPr>
          <w:trHeight w:val="454"/>
        </w:trPr>
        <w:tc>
          <w:tcPr>
            <w:tcW w:w="7508" w:type="dxa"/>
            <w:shd w:val="clear" w:color="auto" w:fill="D4F5FF" w:themeFill="text1" w:themeFillTint="1A"/>
            <w:vAlign w:val="center"/>
          </w:tcPr>
          <w:p w:rsidRPr="00E03696" w:rsidR="00F10B7F" w:rsidP="009F2346" w:rsidRDefault="009F2346" w14:paraId="3A55CFAB" w14:textId="117E8A9E">
            <w:pPr>
              <w:rPr>
                <w:color w:val="0070C0"/>
              </w:rPr>
            </w:pPr>
            <w:hyperlink w:history="1" w:anchor="developingreading">
              <w:r w:rsidRPr="00E03696">
                <w:rPr>
                  <w:rStyle w:val="Hyperlink"/>
                  <w:color w:val="0070C0"/>
                </w:rPr>
                <w:t>Developing reading</w:t>
              </w:r>
            </w:hyperlink>
          </w:p>
        </w:tc>
        <w:tc>
          <w:tcPr>
            <w:tcW w:w="1506" w:type="dxa"/>
            <w:shd w:val="clear" w:color="auto" w:fill="D4F5FF" w:themeFill="text1" w:themeFillTint="1A"/>
          </w:tcPr>
          <w:p w:rsidRPr="00F15AF8" w:rsidR="00F10B7F" w:rsidP="00BC66EC" w:rsidRDefault="00F10B7F" w14:paraId="090CB2A9" w14:textId="46CD0611">
            <w:r>
              <w:t xml:space="preserve">Page </w:t>
            </w:r>
            <w:r w:rsidR="004053E5">
              <w:t>4</w:t>
            </w:r>
          </w:p>
        </w:tc>
      </w:tr>
      <w:tr w:rsidRPr="004D2E4E" w:rsidR="00F10B7F" w:rsidTr="00BC66EC" w14:paraId="10AC99B7" w14:textId="77777777">
        <w:trPr>
          <w:trHeight w:val="629"/>
        </w:trPr>
        <w:tc>
          <w:tcPr>
            <w:tcW w:w="7508" w:type="dxa"/>
            <w:shd w:val="clear" w:color="auto" w:fill="D4F5FF" w:themeFill="text1" w:themeFillTint="1A"/>
            <w:vAlign w:val="center"/>
          </w:tcPr>
          <w:p w:rsidRPr="00E03696" w:rsidR="00F10B7F" w:rsidP="00F10B7F" w:rsidRDefault="009F2346" w14:paraId="7BF69BD0" w14:textId="4F0B8EC0">
            <w:pPr>
              <w:rPr>
                <w:color w:val="0070C0"/>
              </w:rPr>
            </w:pPr>
            <w:hyperlink w:history="1" w:anchor="developingwriting">
              <w:r w:rsidRPr="00E03696">
                <w:rPr>
                  <w:rStyle w:val="Hyperlink"/>
                  <w:color w:val="0070C0"/>
                </w:rPr>
                <w:t>Developing writing</w:t>
              </w:r>
            </w:hyperlink>
          </w:p>
        </w:tc>
        <w:tc>
          <w:tcPr>
            <w:tcW w:w="1506" w:type="dxa"/>
            <w:shd w:val="clear" w:color="auto" w:fill="D4F5FF" w:themeFill="text1" w:themeFillTint="1A"/>
          </w:tcPr>
          <w:p w:rsidRPr="00F15AF8" w:rsidR="00F10B7F" w:rsidP="00BC66EC" w:rsidRDefault="00F10B7F" w14:paraId="3EC46D94" w14:textId="2A1C8D80">
            <w:r>
              <w:t xml:space="preserve">Page </w:t>
            </w:r>
            <w:r w:rsidR="004053E5">
              <w:t>6</w:t>
            </w:r>
          </w:p>
        </w:tc>
      </w:tr>
      <w:tr w:rsidRPr="004D2E4E" w:rsidR="00F10B7F" w:rsidTr="00BC66EC" w14:paraId="2A5EC884" w14:textId="77777777">
        <w:trPr>
          <w:trHeight w:val="629"/>
        </w:trPr>
        <w:tc>
          <w:tcPr>
            <w:tcW w:w="7508" w:type="dxa"/>
            <w:shd w:val="clear" w:color="auto" w:fill="D4F5FF" w:themeFill="text1" w:themeFillTint="1A"/>
            <w:vAlign w:val="center"/>
          </w:tcPr>
          <w:p w:rsidRPr="00E03696" w:rsidR="00F10B7F" w:rsidP="00F10B7F" w:rsidRDefault="00BC2ED5" w14:paraId="2B328A06" w14:textId="109E8A49">
            <w:pPr>
              <w:rPr>
                <w:color w:val="0070C0"/>
              </w:rPr>
            </w:pPr>
            <w:hyperlink w:history="1" w:anchor="nextsteps">
              <w:r>
                <w:rPr>
                  <w:rStyle w:val="Hyperlink"/>
                  <w:color w:val="0070C0"/>
                </w:rPr>
                <w:t xml:space="preserve">Next steps: Preparing for your mentoring session </w:t>
              </w:r>
            </w:hyperlink>
            <w:r w:rsidRPr="00E03696" w:rsidR="00F10B7F">
              <w:rPr>
                <w:color w:val="0070C0"/>
              </w:rPr>
              <w:t xml:space="preserve"> </w:t>
            </w:r>
          </w:p>
        </w:tc>
        <w:tc>
          <w:tcPr>
            <w:tcW w:w="1506" w:type="dxa"/>
            <w:shd w:val="clear" w:color="auto" w:fill="D4F5FF" w:themeFill="text1" w:themeFillTint="1A"/>
          </w:tcPr>
          <w:p w:rsidR="00F10B7F" w:rsidP="00BC66EC" w:rsidRDefault="00F10B7F" w14:paraId="4CE5E3BE" w14:textId="0EC6B467">
            <w:r>
              <w:t xml:space="preserve">Page </w:t>
            </w:r>
            <w:r w:rsidR="004053E5">
              <w:t>8</w:t>
            </w:r>
          </w:p>
        </w:tc>
      </w:tr>
      <w:tr w:rsidRPr="004D2E4E" w:rsidR="00F10B7F" w:rsidTr="00BC66EC" w14:paraId="38F4644B" w14:textId="77777777">
        <w:trPr>
          <w:trHeight w:val="454"/>
        </w:trPr>
        <w:tc>
          <w:tcPr>
            <w:tcW w:w="7508" w:type="dxa"/>
            <w:shd w:val="clear" w:color="auto" w:fill="D4F5FF" w:themeFill="text1" w:themeFillTint="1A"/>
            <w:vAlign w:val="center"/>
          </w:tcPr>
          <w:p w:rsidRPr="00E03696" w:rsidR="00F10B7F" w:rsidP="00BC66EC" w:rsidRDefault="00F10B7F" w14:paraId="4891B7E1" w14:textId="610E754B">
            <w:pPr>
              <w:rPr>
                <w:rStyle w:val="Hyperlink"/>
                <w:color w:val="0070C0"/>
              </w:rPr>
            </w:pPr>
            <w:r w:rsidRPr="00E03696">
              <w:rPr>
                <w:color w:val="0070C0"/>
              </w:rPr>
              <w:fldChar w:fldCharType="begin"/>
            </w:r>
            <w:r w:rsidRPr="00E03696" w:rsidR="00100B97">
              <w:rPr>
                <w:color w:val="0070C0"/>
              </w:rPr>
              <w:instrText>HYPERLINK  \l "ittecfstatements"</w:instrText>
            </w:r>
            <w:r w:rsidRPr="00E03696">
              <w:rPr>
                <w:color w:val="0070C0"/>
              </w:rPr>
            </w:r>
            <w:r w:rsidRPr="00E03696">
              <w:rPr>
                <w:color w:val="0070C0"/>
              </w:rPr>
              <w:fldChar w:fldCharType="separate"/>
            </w:r>
            <w:r w:rsidRPr="00E03696">
              <w:rPr>
                <w:rStyle w:val="Hyperlink"/>
                <w:color w:val="0070C0"/>
              </w:rPr>
              <w:t xml:space="preserve">Related ITTECF Framework statements </w:t>
            </w:r>
          </w:p>
          <w:p w:rsidRPr="00E03696" w:rsidR="00F10B7F" w:rsidP="00BC66EC" w:rsidRDefault="00F10B7F" w14:paraId="194807A2" w14:textId="77777777">
            <w:pPr>
              <w:rPr>
                <w:color w:val="0070C0"/>
              </w:rPr>
            </w:pPr>
            <w:r w:rsidRPr="00E03696">
              <w:rPr>
                <w:color w:val="0070C0"/>
              </w:rPr>
              <w:fldChar w:fldCharType="end"/>
            </w:r>
          </w:p>
        </w:tc>
        <w:tc>
          <w:tcPr>
            <w:tcW w:w="1506" w:type="dxa"/>
            <w:shd w:val="clear" w:color="auto" w:fill="D4F5FF" w:themeFill="text1" w:themeFillTint="1A"/>
          </w:tcPr>
          <w:p w:rsidRPr="00F15AF8" w:rsidR="00F10B7F" w:rsidP="00BC66EC" w:rsidRDefault="00F10B7F" w14:paraId="7B59A3F8" w14:textId="1ADAE46A">
            <w:r>
              <w:t xml:space="preserve">Page </w:t>
            </w:r>
            <w:r w:rsidR="00BC2ED5">
              <w:t>16</w:t>
            </w:r>
          </w:p>
        </w:tc>
      </w:tr>
      <w:tr w:rsidRPr="004D2E4E" w:rsidR="00720A2B" w:rsidTr="00BC66EC" w14:paraId="06E60FE1" w14:textId="77777777">
        <w:trPr>
          <w:trHeight w:val="454"/>
        </w:trPr>
        <w:tc>
          <w:tcPr>
            <w:tcW w:w="7508" w:type="dxa"/>
            <w:shd w:val="clear" w:color="auto" w:fill="D4F5FF" w:themeFill="text1" w:themeFillTint="1A"/>
            <w:vAlign w:val="center"/>
          </w:tcPr>
          <w:p w:rsidRPr="00E03696" w:rsidR="00720A2B" w:rsidP="00BC66EC" w:rsidRDefault="00720A2B" w14:paraId="1843A705" w14:textId="55307BB5">
            <w:pPr>
              <w:rPr>
                <w:color w:val="0070C0"/>
              </w:rPr>
            </w:pPr>
            <w:hyperlink w:history="1" w:anchor="references">
              <w:r w:rsidRPr="00E03696">
                <w:rPr>
                  <w:rStyle w:val="Hyperlink"/>
                  <w:color w:val="0070C0"/>
                </w:rPr>
                <w:t>References</w:t>
              </w:r>
            </w:hyperlink>
            <w:r w:rsidRPr="00E03696">
              <w:rPr>
                <w:color w:val="0070C0"/>
              </w:rPr>
              <w:t xml:space="preserve"> </w:t>
            </w:r>
          </w:p>
        </w:tc>
        <w:tc>
          <w:tcPr>
            <w:tcW w:w="1506" w:type="dxa"/>
            <w:shd w:val="clear" w:color="auto" w:fill="D4F5FF" w:themeFill="text1" w:themeFillTint="1A"/>
          </w:tcPr>
          <w:p w:rsidR="00720A2B" w:rsidP="00BC66EC" w:rsidRDefault="00720A2B" w14:paraId="766B2136" w14:textId="148FD57B">
            <w:r>
              <w:t xml:space="preserve">Page </w:t>
            </w:r>
            <w:r w:rsidR="00BC2ED5">
              <w:t>17</w:t>
            </w:r>
          </w:p>
        </w:tc>
      </w:tr>
      <w:tr w:rsidRPr="004D2E4E" w:rsidR="00BE2F2E" w:rsidTr="00BC66EC" w14:paraId="23056A26" w14:textId="77777777">
        <w:trPr>
          <w:trHeight w:val="454"/>
        </w:trPr>
        <w:tc>
          <w:tcPr>
            <w:tcW w:w="7508" w:type="dxa"/>
            <w:shd w:val="clear" w:color="auto" w:fill="D4F5FF" w:themeFill="text1" w:themeFillTint="1A"/>
            <w:vAlign w:val="center"/>
          </w:tcPr>
          <w:p w:rsidR="00BE2F2E" w:rsidP="00BE2F2E" w:rsidRDefault="00BE2F2E" w14:paraId="3231EB62" w14:textId="4A057705">
            <w:hyperlink w:history="1" w:anchor="Appendix">
              <w:r w:rsidR="004F5FB2">
                <w:rPr>
                  <w:rStyle w:val="Hyperlink"/>
                  <w:color w:val="0070C0"/>
                </w:rPr>
                <w:t>Appendix: Mentor and ECT meeting template</w:t>
              </w:r>
            </w:hyperlink>
            <w:r w:rsidRPr="00BE2F2E">
              <w:rPr>
                <w:color w:val="0070C0"/>
              </w:rPr>
              <w:t xml:space="preserve"> </w:t>
            </w:r>
          </w:p>
        </w:tc>
        <w:tc>
          <w:tcPr>
            <w:tcW w:w="1506" w:type="dxa"/>
            <w:shd w:val="clear" w:color="auto" w:fill="D4F5FF" w:themeFill="text1" w:themeFillTint="1A"/>
          </w:tcPr>
          <w:p w:rsidR="00BE2F2E" w:rsidP="00BE2F2E" w:rsidRDefault="00BC2ED5" w14:paraId="401FE79E" w14:textId="44B468C4">
            <w:r>
              <w:t>Page 18</w:t>
            </w:r>
          </w:p>
        </w:tc>
      </w:tr>
    </w:tbl>
    <w:p w:rsidR="000C3DF2" w:rsidRDefault="000C3DF2" w14:paraId="4841790B" w14:textId="2EEB57E5">
      <w:pPr>
        <w:jc w:val="both"/>
      </w:pPr>
      <w:r>
        <w:br w:type="page"/>
      </w:r>
    </w:p>
    <w:p w:rsidR="008E2DDD" w:rsidP="00E57AD9" w:rsidRDefault="0099463E" w14:paraId="6B3611FC" w14:textId="77777777">
      <w:pPr>
        <w:pStyle w:val="Heading"/>
      </w:pPr>
      <w:r>
        <w:lastRenderedPageBreak/>
        <w:t>Enhancing all pupils’ literacy</w:t>
      </w:r>
    </w:p>
    <w:p w:rsidRPr="008E2DDD" w:rsidR="00F10B7F" w:rsidP="008E2DDD" w:rsidRDefault="008E2DDD" w14:paraId="1597C522" w14:textId="70B99A44">
      <w:pPr>
        <w:rPr>
          <w:b/>
          <w:bCs/>
        </w:rPr>
      </w:pPr>
      <w:r w:rsidRPr="0024184A">
        <w:rPr>
          <w:b/>
          <w:bCs/>
        </w:rPr>
        <w:t>Approximate time to complete: 5 minutes</w:t>
      </w:r>
      <w:r w:rsidR="00E57AD9">
        <w:t xml:space="preserve"> </w:t>
      </w:r>
    </w:p>
    <w:p w:rsidR="00BE2F2E" w:rsidP="00BE2F2E" w:rsidRDefault="00BE2F2E" w14:paraId="2E2A9BC8" w14:textId="77777777">
      <w:pPr>
        <w:pStyle w:val="Subheading"/>
      </w:pPr>
      <w:r>
        <w:rPr>
          <w:rStyle w:val="normaltextrun"/>
        </w:rPr>
        <w:t>Reminder of what the evidence says</w:t>
      </w:r>
    </w:p>
    <w:p w:rsidR="00BE2F2E" w:rsidP="00BE2F2E" w:rsidRDefault="00BE2F2E" w14:paraId="33A71B34" w14:textId="77777777">
      <w:r>
        <w:t xml:space="preserve">Early career teachers considered the core principles around the development of all pupil’s literacy skills, focusing on language development, reading and writing. </w:t>
      </w:r>
    </w:p>
    <w:p w:rsidR="00BE2F2E" w:rsidP="00BE2F2E" w:rsidRDefault="00BE2F2E" w14:paraId="2CCB78AD" w14:textId="77777777">
      <w:r>
        <w:t xml:space="preserve">If you wish to review the theory relating </w:t>
      </w:r>
      <w:r w:rsidRPr="0069544C">
        <w:t xml:space="preserve">to </w:t>
      </w:r>
      <w:r>
        <w:t>delivering a carefully sequenced curriculum</w:t>
      </w:r>
      <w:r w:rsidRPr="0069544C">
        <w:t>, please see the Core self-study for ‘</w:t>
      </w:r>
      <w:r>
        <w:t>Subject and curriculum”</w:t>
      </w:r>
      <w:r w:rsidRPr="0069544C">
        <w:t xml:space="preserve">. </w:t>
      </w:r>
    </w:p>
    <w:p w:rsidR="00E57AD9" w:rsidP="00241BA2" w:rsidRDefault="00223D63" w14:paraId="002F3D94" w14:textId="1D660706">
      <w:pPr>
        <w:pStyle w:val="Subheading"/>
      </w:pPr>
      <w:bookmarkStart w:name="developinglanguage" w:id="1"/>
      <w:r>
        <w:t>Developing language</w:t>
      </w:r>
    </w:p>
    <w:bookmarkEnd w:id="1"/>
    <w:p w:rsidR="00241BA2" w:rsidP="00241BA2" w:rsidRDefault="00241BA2" w14:paraId="39F6BADA" w14:textId="3B57814A">
      <w:pPr>
        <w:rPr>
          <w:b/>
          <w:bCs/>
        </w:rPr>
      </w:pPr>
      <w:r w:rsidRPr="00241BA2">
        <w:rPr>
          <w:b/>
          <w:bCs/>
        </w:rPr>
        <w:t xml:space="preserve">What this looks like in practice </w:t>
      </w:r>
    </w:p>
    <w:p w:rsidR="001E2DBF" w:rsidP="001E2DBF" w:rsidRDefault="001E2DBF" w14:paraId="33B07BD3" w14:textId="09A4FA08">
      <w:r>
        <w:t xml:space="preserve">Developing pupils general and subject specific oracy skills should be a high priority for all teachers, promoting a word rich classroom environment in which multiple opportunities are facilitated for the pupils to interact with adults and peers as well as to discuss and debate. </w:t>
      </w:r>
      <w:r w:rsidR="00CE3E80">
        <w:t>T</w:t>
      </w:r>
      <w:r w:rsidRPr="004D7118">
        <w:t xml:space="preserve">alk </w:t>
      </w:r>
      <w:r>
        <w:t xml:space="preserve">should be modelled in the same way as reading and writing. </w:t>
      </w:r>
      <w:r w:rsidR="00F7117B">
        <w:t xml:space="preserve">The explicit teaching of new vocabulary is also fundamental to developing pupil’s language skills. </w:t>
      </w:r>
      <w:r>
        <w:t xml:space="preserve"> </w:t>
      </w:r>
      <w:r w:rsidR="00F7117B">
        <w:t xml:space="preserve">Vocabulary should be selected using the tiered system and related to </w:t>
      </w:r>
      <w:r>
        <w:t>current topics in the curriculum</w:t>
      </w:r>
      <w:r w:rsidR="00F7117B">
        <w:t xml:space="preserve">. Graphic organisers, such as the Frayer model can provide a helpful tool for teaching new vocabulary. </w:t>
      </w:r>
      <w:r>
        <w:rPr>
          <w:lang w:val="en-US"/>
        </w:rPr>
        <w:t xml:space="preserve">This helps facilitate deep understanding and concept analysis and allows the presentation of new words in a specific format so that pupils can quickly recognise and learn the words. This is an approach that can be used across phases and subjects. Focusing on etymology and morphology can also support pupils to increase the breadth and depth of their vocabulary. </w:t>
      </w:r>
    </w:p>
    <w:p w:rsidRPr="00D31504" w:rsidR="001E2DBF" w:rsidP="00D31504" w:rsidRDefault="001E2DBF" w14:paraId="0ECACFDD" w14:textId="3939CFB4">
      <w:r>
        <w:rPr>
          <w:rStyle w:val="normaltextrun"/>
        </w:rPr>
        <w:t xml:space="preserve">The use of questioning in the classroom also plays a vital part in developing high quality talk. </w:t>
      </w:r>
      <w:r w:rsidR="000263C1">
        <w:rPr>
          <w:rStyle w:val="normaltextrun"/>
        </w:rPr>
        <w:t>L</w:t>
      </w:r>
      <w:r>
        <w:rPr>
          <w:rStyle w:val="normaltextrun"/>
        </w:rPr>
        <w:t xml:space="preserve">essons </w:t>
      </w:r>
      <w:r w:rsidR="000263C1">
        <w:rPr>
          <w:rStyle w:val="normaltextrun"/>
        </w:rPr>
        <w:t xml:space="preserve">should include </w:t>
      </w:r>
      <w:r>
        <w:rPr>
          <w:rStyle w:val="normaltextrun"/>
        </w:rPr>
        <w:t>the use of broad, open questions that require pupils to</w:t>
      </w:r>
      <w:r w:rsidRPr="006E52B0">
        <w:t xml:space="preserve"> reason, argue and explain</w:t>
      </w:r>
      <w:r>
        <w:t xml:space="preserve"> as well as p</w:t>
      </w:r>
      <w:r w:rsidRPr="006E52B0">
        <w:t>robing pupils with follow up questions that require extension of an answer</w:t>
      </w:r>
      <w:r>
        <w:t xml:space="preserve"> or building upon a pupil response. Where pupils may still need support in developing their responses the use of sentence starters and prompts to help them structure and extend their answers can be a useful tool as well as allowing sufficient wait time for pupils to formulate their responses. </w:t>
      </w:r>
    </w:p>
    <w:p w:rsidR="00AE0169" w:rsidP="00AE0169" w:rsidRDefault="00AE0169" w14:paraId="37B048D5" w14:textId="518CF0E3">
      <w:pPr>
        <w:pStyle w:val="Subheading"/>
        <w:rPr>
          <w:color w:val="auto"/>
        </w:rPr>
      </w:pPr>
      <w:r w:rsidRPr="00AE0169">
        <w:rPr>
          <w:color w:val="auto"/>
        </w:rPr>
        <w:t>Identifying the active ingredients</w:t>
      </w:r>
      <w:r w:rsidR="00AF4A46">
        <w:rPr>
          <w:color w:val="auto"/>
        </w:rPr>
        <w:t xml:space="preserve"> </w:t>
      </w:r>
    </w:p>
    <w:p w:rsidRPr="007D0C64" w:rsidR="00384289" w:rsidP="00AE0169" w:rsidRDefault="00384289" w14:paraId="667A26E6" w14:textId="2B8524F3">
      <w:pPr>
        <w:pStyle w:val="Subheading"/>
        <w:rPr>
          <w:rStyle w:val="normaltextrun"/>
          <w:b w:val="0"/>
          <w:bCs w:val="0"/>
          <w:color w:val="auto"/>
        </w:rPr>
      </w:pPr>
      <w:r w:rsidRPr="007D0C64">
        <w:rPr>
          <w:b w:val="0"/>
          <w:bCs w:val="0"/>
          <w:color w:val="auto"/>
        </w:rPr>
        <w:t xml:space="preserve">The following active ingredients can be used to </w:t>
      </w:r>
      <w:r w:rsidRPr="007D0C64" w:rsidR="007D0C64">
        <w:rPr>
          <w:b w:val="0"/>
          <w:bCs w:val="0"/>
          <w:color w:val="auto"/>
        </w:rPr>
        <w:t xml:space="preserve">help </w:t>
      </w:r>
      <w:r w:rsidR="005B31C9">
        <w:rPr>
          <w:b w:val="0"/>
          <w:bCs w:val="0"/>
          <w:color w:val="auto"/>
        </w:rPr>
        <w:t>explicitly teach the meaning of new vocabulary:</w:t>
      </w:r>
    </w:p>
    <w:p w:rsidRPr="00CC6D06" w:rsidR="009444B2" w:rsidP="009444B2" w:rsidRDefault="009444B2" w14:paraId="09BCFD68" w14:textId="77777777">
      <w:pPr>
        <w:pStyle w:val="ListParagraph"/>
        <w:numPr>
          <w:ilvl w:val="0"/>
          <w:numId w:val="23"/>
        </w:numPr>
        <w:spacing w:before="120" w:after="120"/>
      </w:pPr>
      <w:r w:rsidRPr="000B7438">
        <w:rPr>
          <w:b/>
          <w:bCs/>
        </w:rPr>
        <w:lastRenderedPageBreak/>
        <w:t>Select the appropriate Tier 2 or Tier 3 words</w:t>
      </w:r>
      <w:r w:rsidRPr="00CC6D06">
        <w:t xml:space="preserve"> that are needed for the pupils to be able to access the text or that they need to learn to understand specific concepts or use in their written work. </w:t>
      </w:r>
    </w:p>
    <w:p w:rsidRPr="00CC6D06" w:rsidR="009444B2" w:rsidP="009444B2" w:rsidRDefault="009444B2" w14:paraId="325237F4" w14:textId="77777777">
      <w:pPr>
        <w:pStyle w:val="ListParagraph"/>
        <w:numPr>
          <w:ilvl w:val="0"/>
          <w:numId w:val="23"/>
        </w:numPr>
        <w:spacing w:before="120" w:after="120"/>
      </w:pPr>
      <w:r w:rsidRPr="00193AE0">
        <w:rPr>
          <w:b/>
          <w:bCs/>
        </w:rPr>
        <w:t>Say the word carefully and model what effective use of the word looks like</w:t>
      </w:r>
      <w:r w:rsidRPr="00CC6D06">
        <w:t xml:space="preserve"> through talk, including pronunciation and use within a subject specific sentence. Ensure the pupils are given opportunities to repeat this. </w:t>
      </w:r>
    </w:p>
    <w:p w:rsidRPr="00100324" w:rsidR="009444B2" w:rsidP="009444B2" w:rsidRDefault="009444B2" w14:paraId="173955D3" w14:textId="77777777">
      <w:pPr>
        <w:pStyle w:val="ListParagraph"/>
        <w:numPr>
          <w:ilvl w:val="0"/>
          <w:numId w:val="23"/>
        </w:numPr>
        <w:spacing w:before="120" w:after="120"/>
      </w:pPr>
      <w:r w:rsidRPr="00193AE0">
        <w:rPr>
          <w:b/>
          <w:bCs/>
        </w:rPr>
        <w:t>Use a visual support</w:t>
      </w:r>
      <w:r w:rsidRPr="00CC6D06">
        <w:t xml:space="preserve"> such as a graphic organiser to model the word, explore </w:t>
      </w:r>
      <w:r>
        <w:t>the</w:t>
      </w:r>
      <w:r w:rsidRPr="00CC6D06">
        <w:t xml:space="preserve"> definition and pupil friendly description as well as exploring the </w:t>
      </w:r>
      <w:r w:rsidRPr="00100324">
        <w:t xml:space="preserve">etymology and morphology </w:t>
      </w:r>
      <w:r>
        <w:t>and</w:t>
      </w:r>
      <w:r w:rsidRPr="00100324">
        <w:t xml:space="preserve"> synonyms and antonyms. </w:t>
      </w:r>
    </w:p>
    <w:p w:rsidRPr="00D75EFC" w:rsidR="009444B2" w:rsidP="009444B2" w:rsidRDefault="009444B2" w14:paraId="0D9E2C63" w14:textId="77777777">
      <w:pPr>
        <w:pStyle w:val="ListParagraph"/>
        <w:numPr>
          <w:ilvl w:val="0"/>
          <w:numId w:val="23"/>
        </w:numPr>
        <w:spacing w:before="120" w:after="120"/>
      </w:pPr>
      <w:r w:rsidRPr="00193AE0">
        <w:rPr>
          <w:b/>
          <w:bCs/>
        </w:rPr>
        <w:t>Provide immediate interaction with the new vocabulary</w:t>
      </w:r>
      <w:r w:rsidRPr="00100324">
        <w:t xml:space="preserve">, building opportunities for pupils to interact with the words in different contexts. </w:t>
      </w:r>
    </w:p>
    <w:p w:rsidRPr="00B97175" w:rsidR="009444B2" w:rsidP="009444B2" w:rsidRDefault="009444B2" w14:paraId="0819964E" w14:textId="77777777">
      <w:pPr>
        <w:spacing w:after="160"/>
        <w:rPr>
          <w:rStyle w:val="normaltextrun"/>
        </w:rPr>
      </w:pPr>
      <w:r w:rsidRPr="00C8295D">
        <w:t>Though the active ingredients don’t change, the way they’re applied can — and should — be adapted depending on the context. This flexibility allows for professional judgement while maintaining fidelity to the approach.</w:t>
      </w:r>
    </w:p>
    <w:p w:rsidRPr="00F2080B" w:rsidR="008B2A8F" w:rsidP="008B2A8F" w:rsidRDefault="008B2A8F" w14:paraId="0220476B" w14:textId="77777777">
      <w:pPr>
        <w:pStyle w:val="Subheading"/>
        <w:rPr>
          <w:color w:val="auto"/>
        </w:rPr>
      </w:pPr>
      <w:r w:rsidRPr="00F2080B">
        <w:rPr>
          <w:color w:val="auto"/>
        </w:rPr>
        <w:t xml:space="preserve">Examples </w:t>
      </w:r>
    </w:p>
    <w:p w:rsidR="006C2AF5" w:rsidP="006C2AF5" w:rsidRDefault="006C2AF5" w14:paraId="28D1394A" w14:textId="19B6E4D2">
      <w:pPr>
        <w:rPr>
          <w:color w:val="FF0000"/>
        </w:rPr>
      </w:pPr>
      <w:r w:rsidRPr="00221670">
        <w:rPr>
          <w:color w:val="FF0000"/>
        </w:rPr>
        <w:t>In the related Early Career Teacher elective self-study content, schools or trusts should have shared exemplification relevant to their context to illustrate approaches to developing languag</w:t>
      </w:r>
      <w:r>
        <w:rPr>
          <w:color w:val="FF0000"/>
        </w:rPr>
        <w:t>e</w:t>
      </w:r>
      <w:r w:rsidRPr="00221670">
        <w:rPr>
          <w:color w:val="FF0000"/>
        </w:rPr>
        <w:t xml:space="preserve">. These should explicitly link to the active ingredients, demonstrating how and why they are effective. </w:t>
      </w:r>
    </w:p>
    <w:p w:rsidRPr="00221670" w:rsidR="006C2AF5" w:rsidP="006C2AF5" w:rsidRDefault="006C2AF5" w14:paraId="7D8FA20C" w14:textId="77777777">
      <w:pPr>
        <w:rPr>
          <w:color w:val="FF0000"/>
        </w:rPr>
      </w:pPr>
      <w:r>
        <w:rPr>
          <w:color w:val="FF0000"/>
        </w:rPr>
        <w:t xml:space="preserve">You may wish to share these examples with mentors. </w:t>
      </w:r>
    </w:p>
    <w:p w:rsidR="006C2AF5" w:rsidP="006C2AF5" w:rsidRDefault="006C2AF5" w14:paraId="0A48A238"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CB528D" w:rsidP="00CB528D" w:rsidRDefault="00CB528D" w14:paraId="281FACA3" w14:textId="77777777">
      <w:pPr>
        <w:rPr>
          <w:color w:val="FF0000"/>
        </w:rPr>
      </w:pPr>
      <w:r>
        <w:rPr>
          <w:color w:val="FF0000"/>
        </w:rPr>
        <w:t xml:space="preserve">Video exemplification should last no longer than 3 minutes. </w:t>
      </w:r>
    </w:p>
    <w:p w:rsidRPr="00221670" w:rsidR="00CB528D" w:rsidP="006C2AF5" w:rsidRDefault="00CB528D" w14:paraId="553D34CE" w14:textId="77777777">
      <w:pPr>
        <w:rPr>
          <w:color w:val="FF0000"/>
        </w:rPr>
      </w:pPr>
    </w:p>
    <w:p w:rsidRPr="00E03696" w:rsidR="00EB418C" w:rsidP="00EB418C" w:rsidRDefault="00EB418C" w14:paraId="0BC286A7" w14:textId="40B4678B">
      <w:pPr>
        <w:jc w:val="both"/>
        <w:rPr>
          <w:b/>
          <w:bCs/>
          <w:color w:val="0070C0"/>
        </w:rPr>
      </w:pPr>
      <w:hyperlink w:history="1" w:anchor="Content">
        <w:r w:rsidRPr="00E03696">
          <w:rPr>
            <w:rStyle w:val="Hyperlink"/>
            <w:b/>
            <w:bCs/>
            <w:color w:val="0070C0"/>
          </w:rPr>
          <w:t>Click here to return to Content page</w:t>
        </w:r>
      </w:hyperlink>
    </w:p>
    <w:p w:rsidR="000379C7" w:rsidRDefault="000379C7" w14:paraId="4F6A1898" w14:textId="77777777">
      <w:pPr>
        <w:jc w:val="both"/>
        <w:rPr>
          <w:b/>
          <w:bCs/>
        </w:rPr>
      </w:pPr>
      <w:r>
        <w:rPr>
          <w:b/>
          <w:bCs/>
        </w:rPr>
        <w:br w:type="page"/>
      </w:r>
    </w:p>
    <w:p w:rsidR="000379C7" w:rsidP="000379C7" w:rsidRDefault="00F34F1E" w14:paraId="4511B00B" w14:textId="793569AE">
      <w:pPr>
        <w:pStyle w:val="Subheading"/>
      </w:pPr>
      <w:bookmarkStart w:name="developingreading" w:id="2"/>
      <w:r>
        <w:lastRenderedPageBreak/>
        <w:t>Developing reading</w:t>
      </w:r>
    </w:p>
    <w:bookmarkEnd w:id="2"/>
    <w:p w:rsidRPr="000379C7" w:rsidR="000379C7" w:rsidP="000379C7" w:rsidRDefault="000379C7" w14:paraId="7D50B9E6" w14:textId="77777777">
      <w:pPr>
        <w:pStyle w:val="Subheading"/>
        <w:rPr>
          <w:color w:val="auto"/>
        </w:rPr>
      </w:pPr>
      <w:r w:rsidRPr="000379C7">
        <w:rPr>
          <w:color w:val="auto"/>
        </w:rPr>
        <w:t>What this looks like in practice</w:t>
      </w:r>
    </w:p>
    <w:p w:rsidR="00E87969" w:rsidP="00E87969" w:rsidRDefault="00E87969" w14:paraId="63C78C16" w14:textId="687AE43C">
      <w:pPr>
        <w:rPr>
          <w:rFonts w:ascii="Tahoma" w:hAnsi="Tahoma" w:cs="Tahoma"/>
          <w:szCs w:val="24"/>
        </w:rPr>
      </w:pPr>
      <w:r>
        <w:rPr>
          <w:rFonts w:ascii="Tahoma" w:hAnsi="Tahoma" w:cs="Tahoma"/>
          <w:szCs w:val="24"/>
        </w:rPr>
        <w:t xml:space="preserve">Background knowledge and vocabulary development are fundamental to reading comprehension and are needed to enable pupils to make accurate inferences about a text.  Both of these should be explicitly taught, building in opportunities to activate prior knowledge and </w:t>
      </w:r>
      <w:r w:rsidR="00640CB5">
        <w:rPr>
          <w:rFonts w:ascii="Tahoma" w:hAnsi="Tahoma" w:cs="Tahoma"/>
          <w:szCs w:val="24"/>
        </w:rPr>
        <w:t xml:space="preserve">vocabulary that the pupils already have. </w:t>
      </w:r>
    </w:p>
    <w:p w:rsidR="00E87969" w:rsidP="00E87969" w:rsidRDefault="00640CB5" w14:paraId="78B2BEF2" w14:textId="0BCA0919">
      <w:pPr>
        <w:spacing w:after="160" w:line="259" w:lineRule="auto"/>
        <w:rPr>
          <w:rFonts w:ascii="Tahoma" w:hAnsi="Tahoma" w:eastAsia="Tahoma" w:cs="Tahoma"/>
          <w:color w:val="000000"/>
          <w:szCs w:val="24"/>
        </w:rPr>
      </w:pPr>
      <w:r>
        <w:t>R</w:t>
      </w:r>
      <w:r w:rsidRPr="002622DC" w:rsidR="00E87969">
        <w:t xml:space="preserve">eading comprehension can </w:t>
      </w:r>
      <w:r>
        <w:t xml:space="preserve">also </w:t>
      </w:r>
      <w:r w:rsidRPr="002622DC" w:rsidR="00E87969">
        <w:t xml:space="preserve">be developed through text exposure and there is a need to ensure that pupils have access to high-quality varied texts above instructional level so that they can challenge their knowledge and vocabulary and to build engagement in reading. </w:t>
      </w:r>
      <w:r w:rsidR="00E87969">
        <w:rPr>
          <w:rFonts w:ascii="Tahoma" w:hAnsi="Tahoma" w:eastAsia="Tahoma" w:cs="Tahoma"/>
          <w:color w:val="000000"/>
          <w:szCs w:val="24"/>
        </w:rPr>
        <w:t xml:space="preserve">Pupils </w:t>
      </w:r>
      <w:r>
        <w:rPr>
          <w:rFonts w:ascii="Tahoma" w:hAnsi="Tahoma" w:eastAsia="Tahoma" w:cs="Tahoma"/>
          <w:color w:val="000000"/>
          <w:szCs w:val="24"/>
        </w:rPr>
        <w:t xml:space="preserve">also </w:t>
      </w:r>
      <w:r w:rsidR="00E87969">
        <w:rPr>
          <w:rFonts w:ascii="Tahoma" w:hAnsi="Tahoma" w:eastAsia="Tahoma" w:cs="Tahoma"/>
          <w:color w:val="000000"/>
          <w:szCs w:val="24"/>
        </w:rPr>
        <w:t xml:space="preserve">need to be able to monitor their understanding of a text as they read, ensuring they remain focused while processing the text. </w:t>
      </w:r>
      <w:r w:rsidR="0003132B">
        <w:rPr>
          <w:rFonts w:ascii="Tahoma" w:hAnsi="Tahoma" w:eastAsia="Tahoma" w:cs="Tahoma"/>
          <w:color w:val="000000"/>
          <w:szCs w:val="24"/>
        </w:rPr>
        <w:t>S</w:t>
      </w:r>
      <w:r w:rsidR="00E87969">
        <w:rPr>
          <w:rFonts w:ascii="Tahoma" w:hAnsi="Tahoma" w:eastAsia="Tahoma" w:cs="Tahoma"/>
          <w:color w:val="000000"/>
          <w:szCs w:val="24"/>
        </w:rPr>
        <w:t xml:space="preserve">trategies </w:t>
      </w:r>
      <w:r w:rsidR="0003132B">
        <w:rPr>
          <w:rFonts w:ascii="Tahoma" w:hAnsi="Tahoma" w:eastAsia="Tahoma" w:cs="Tahoma"/>
          <w:color w:val="000000"/>
          <w:szCs w:val="24"/>
        </w:rPr>
        <w:t xml:space="preserve">such as </w:t>
      </w:r>
      <w:r w:rsidR="00544080">
        <w:rPr>
          <w:rFonts w:ascii="Tahoma" w:hAnsi="Tahoma" w:eastAsia="Tahoma" w:cs="Tahoma"/>
          <w:color w:val="000000"/>
          <w:szCs w:val="24"/>
        </w:rPr>
        <w:t xml:space="preserve">predicting, questioning, inferring, clarifying and summarising are all essential strategies for supporting the development of reading comprehension. </w:t>
      </w:r>
    </w:p>
    <w:p w:rsidRPr="00E3679B" w:rsidR="00E87969" w:rsidP="00E87969" w:rsidRDefault="00E87969" w14:paraId="710566EC" w14:textId="4ACA2971">
      <w:pPr>
        <w:rPr>
          <w:rFonts w:ascii="Tahoma" w:hAnsi="Tahoma" w:cs="Tahoma"/>
          <w:szCs w:val="24"/>
        </w:rPr>
      </w:pPr>
      <w:r w:rsidRPr="00E3679B">
        <w:rPr>
          <w:rFonts w:ascii="Tahoma" w:hAnsi="Tahoma" w:cs="Tahoma"/>
          <w:szCs w:val="24"/>
        </w:rPr>
        <w:t>The use of certain frameworks and structures, such as reciprocal reading, can be valuable assets to the teaching of general reading comprehension skills. They must be modelled to pupils to en</w:t>
      </w:r>
      <w:r w:rsidR="004379DE">
        <w:rPr>
          <w:rFonts w:ascii="Tahoma" w:hAnsi="Tahoma" w:cs="Tahoma"/>
          <w:szCs w:val="24"/>
        </w:rPr>
        <w:t xml:space="preserve">sure they are used </w:t>
      </w:r>
      <w:r w:rsidRPr="00E3679B">
        <w:rPr>
          <w:rFonts w:ascii="Tahoma" w:hAnsi="Tahoma" w:cs="Tahoma"/>
          <w:szCs w:val="24"/>
        </w:rPr>
        <w:t xml:space="preserve">correctly and over time the initial scaffolding </w:t>
      </w:r>
      <w:r w:rsidR="00A12F6F">
        <w:rPr>
          <w:rFonts w:ascii="Tahoma" w:hAnsi="Tahoma" w:cs="Tahoma"/>
          <w:szCs w:val="24"/>
        </w:rPr>
        <w:t>can</w:t>
      </w:r>
      <w:r w:rsidRPr="00E3679B">
        <w:rPr>
          <w:rFonts w:ascii="Tahoma" w:hAnsi="Tahoma" w:cs="Tahoma"/>
          <w:szCs w:val="24"/>
        </w:rPr>
        <w:t xml:space="preserve"> be removed to allow the pupils to move from guided to independent practice, from novice to expert. </w:t>
      </w:r>
      <w:r>
        <w:rPr>
          <w:rFonts w:ascii="Tahoma" w:hAnsi="Tahoma" w:cs="Tahoma"/>
          <w:szCs w:val="24"/>
        </w:rPr>
        <w:t>M</w:t>
      </w:r>
      <w:r w:rsidRPr="00E3679B">
        <w:rPr>
          <w:rFonts w:ascii="Tahoma" w:hAnsi="Tahoma" w:cs="Tahoma"/>
          <w:szCs w:val="24"/>
        </w:rPr>
        <w:t xml:space="preserve">etacognition is another area important to the development of reading comprehension. Articulating the processes required to accurately unpick and subsequently comprehend a text is crucial to the overall development of pupils reading comprehension. </w:t>
      </w:r>
    </w:p>
    <w:p w:rsidR="00E87969" w:rsidP="00E87969" w:rsidRDefault="00E87969" w14:paraId="774A70E1" w14:textId="0645D8D6">
      <w:pPr>
        <w:rPr>
          <w:rFonts w:ascii="Tahoma" w:hAnsi="Tahoma" w:cs="Tahoma"/>
          <w:szCs w:val="24"/>
        </w:rPr>
      </w:pPr>
      <w:r w:rsidRPr="00B81B39">
        <w:rPr>
          <w:rFonts w:ascii="Tahoma" w:hAnsi="Tahoma" w:cs="Tahoma"/>
          <w:szCs w:val="24"/>
        </w:rPr>
        <w:t>Crucially pupils also need to hear what good reading looks like, including both fluency and prosody and as teachers there is a need to ensure that this is used as a strategy to support comprehension development.</w:t>
      </w:r>
      <w:r>
        <w:rPr>
          <w:rFonts w:ascii="Tahoma" w:hAnsi="Tahoma" w:cs="Tahoma"/>
          <w:szCs w:val="24"/>
        </w:rPr>
        <w:t xml:space="preserve"> </w:t>
      </w:r>
    </w:p>
    <w:p w:rsidR="00AA11F2" w:rsidP="00ED0CD8" w:rsidRDefault="00ED0CD8" w14:paraId="5A8F2EF7" w14:textId="7BB7FD4D">
      <w:pPr>
        <w:pStyle w:val="Subsubheading"/>
      </w:pPr>
      <w:r>
        <w:t xml:space="preserve">Identifying the </w:t>
      </w:r>
      <w:r w:rsidR="00CB2B5A">
        <w:t>active</w:t>
      </w:r>
      <w:r>
        <w:t xml:space="preserve"> ingredients </w:t>
      </w:r>
    </w:p>
    <w:p w:rsidRPr="002A540A" w:rsidR="00AE4353" w:rsidP="00AE4353" w:rsidRDefault="00AE4353" w14:paraId="38C8C797" w14:textId="77777777">
      <w:pPr>
        <w:rPr>
          <w:rStyle w:val="normaltextrun"/>
          <w:b/>
          <w:bCs/>
        </w:rPr>
      </w:pPr>
      <w:r>
        <w:t xml:space="preserve">The </w:t>
      </w:r>
      <w:r w:rsidRPr="00C8295D">
        <w:t xml:space="preserve">‘active ingredients’ </w:t>
      </w:r>
      <w:r>
        <w:t xml:space="preserve">that will help to develop pupils’ reading skills effectively include: </w:t>
      </w:r>
    </w:p>
    <w:p w:rsidR="00AE4353" w:rsidP="00AE4353" w:rsidRDefault="00AE4353" w14:paraId="099DC4CD" w14:textId="77777777">
      <w:pPr>
        <w:pStyle w:val="ListParagraph"/>
        <w:numPr>
          <w:ilvl w:val="0"/>
          <w:numId w:val="25"/>
        </w:numPr>
        <w:spacing w:before="120" w:after="120"/>
      </w:pPr>
      <w:r w:rsidRPr="002A540A">
        <w:rPr>
          <w:b/>
          <w:bCs/>
        </w:rPr>
        <w:t>Modelling and scaffolding specific comprehension strategies</w:t>
      </w:r>
      <w:r>
        <w:t xml:space="preserve"> </w:t>
      </w:r>
      <w:r w:rsidRPr="00CE285C">
        <w:t>includ</w:t>
      </w:r>
      <w:r>
        <w:t>ing</w:t>
      </w:r>
      <w:r w:rsidRPr="00CE285C">
        <w:t xml:space="preserve"> questioning, activating prior knowledge, summarising, clarifying, and predicting</w:t>
      </w:r>
      <w:r>
        <w:t>.</w:t>
      </w:r>
    </w:p>
    <w:p w:rsidR="00AE4353" w:rsidP="00AE4353" w:rsidRDefault="00AE4353" w14:paraId="049390E4" w14:textId="77777777">
      <w:pPr>
        <w:pStyle w:val="ListParagraph"/>
        <w:numPr>
          <w:ilvl w:val="0"/>
          <w:numId w:val="25"/>
        </w:numPr>
        <w:spacing w:before="120" w:after="120"/>
      </w:pPr>
      <w:r w:rsidRPr="002A540A">
        <w:rPr>
          <w:b/>
          <w:bCs/>
        </w:rPr>
        <w:t>Using guided practice</w:t>
      </w:r>
      <w:r>
        <w:t xml:space="preserve"> to support novice readers to unpick and comprehend a text, gradually releasing responsibility as they become more independent.</w:t>
      </w:r>
    </w:p>
    <w:p w:rsidR="00AE4353" w:rsidP="00AE4353" w:rsidRDefault="00AE4353" w14:paraId="2C2A38F2" w14:textId="77777777">
      <w:pPr>
        <w:pStyle w:val="ListParagraph"/>
        <w:numPr>
          <w:ilvl w:val="0"/>
          <w:numId w:val="25"/>
        </w:numPr>
        <w:spacing w:before="120" w:after="120"/>
      </w:pPr>
      <w:r w:rsidRPr="002A540A">
        <w:rPr>
          <w:b/>
          <w:bCs/>
        </w:rPr>
        <w:t>Modelling what good reading looks like</w:t>
      </w:r>
      <w:r>
        <w:t>, focusing on fluency and prosody to enhance comprehension.</w:t>
      </w:r>
    </w:p>
    <w:p w:rsidR="00AE4353" w:rsidP="00AE4353" w:rsidRDefault="00AE4353" w14:paraId="6AD765A4" w14:textId="77777777">
      <w:pPr>
        <w:pStyle w:val="ListParagraph"/>
        <w:numPr>
          <w:ilvl w:val="0"/>
          <w:numId w:val="25"/>
        </w:numPr>
        <w:spacing w:before="120" w:after="120"/>
      </w:pPr>
      <w:r w:rsidRPr="002A540A">
        <w:rPr>
          <w:b/>
          <w:bCs/>
        </w:rPr>
        <w:t>Use ‘think aloud’ to model the process of reading</w:t>
      </w:r>
      <w:r>
        <w:t xml:space="preserve"> and develop metacognition skills.</w:t>
      </w:r>
    </w:p>
    <w:p w:rsidRPr="00A8170C" w:rsidR="00AE4353" w:rsidP="00AE4353" w:rsidRDefault="00AE4353" w14:paraId="64633A97" w14:textId="77777777">
      <w:pPr>
        <w:spacing w:after="160" w:line="259" w:lineRule="auto"/>
      </w:pPr>
      <w:r w:rsidRPr="00C8295D">
        <w:lastRenderedPageBreak/>
        <w:t>These active ingredients won’t vary — but how they’re used might. As discussed earlier, it’s this blend of consistency and adaptability that makes an approach both robust and impactful.</w:t>
      </w:r>
    </w:p>
    <w:p w:rsidR="00A96735" w:rsidP="00287410" w:rsidRDefault="00A96735" w14:paraId="40ED5E38" w14:textId="77777777"/>
    <w:p w:rsidRPr="00F2080B" w:rsidR="00A96735" w:rsidP="00A96735" w:rsidRDefault="00A96735" w14:paraId="7A2C1D43" w14:textId="77777777">
      <w:pPr>
        <w:pStyle w:val="Subheading"/>
        <w:rPr>
          <w:color w:val="auto"/>
        </w:rPr>
      </w:pPr>
      <w:r w:rsidRPr="00F2080B">
        <w:rPr>
          <w:color w:val="auto"/>
        </w:rPr>
        <w:t xml:space="preserve">Examples </w:t>
      </w:r>
    </w:p>
    <w:p w:rsidR="005544B7" w:rsidP="005544B7" w:rsidRDefault="005544B7" w14:paraId="7F48DB60" w14:textId="5BE6DDFC">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w:t>
      </w:r>
      <w:r>
        <w:rPr>
          <w:color w:val="FF0000"/>
        </w:rPr>
        <w:t>reading</w:t>
      </w:r>
      <w:r w:rsidRPr="00221670">
        <w:rPr>
          <w:color w:val="FF0000"/>
        </w:rPr>
        <w:t xml:space="preserve">. These should explicitly link to the active ingredients, demonstrating how and why they are effective. </w:t>
      </w:r>
    </w:p>
    <w:p w:rsidRPr="00221670" w:rsidR="005544B7" w:rsidP="005544B7" w:rsidRDefault="005544B7" w14:paraId="2914E198" w14:textId="77777777">
      <w:pPr>
        <w:rPr>
          <w:color w:val="FF0000"/>
        </w:rPr>
      </w:pPr>
      <w:r>
        <w:rPr>
          <w:color w:val="FF0000"/>
        </w:rPr>
        <w:t xml:space="preserve">You may wish to share these examples with mentors. </w:t>
      </w:r>
    </w:p>
    <w:p w:rsidR="005544B7" w:rsidP="005544B7" w:rsidRDefault="005544B7" w14:paraId="211F5777"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CB528D" w:rsidP="00CB528D" w:rsidRDefault="00CB528D" w14:paraId="1ED4AFCF" w14:textId="77777777">
      <w:pPr>
        <w:rPr>
          <w:color w:val="FF0000"/>
        </w:rPr>
      </w:pPr>
      <w:r>
        <w:rPr>
          <w:color w:val="FF0000"/>
        </w:rPr>
        <w:t xml:space="preserve">Video exemplification should last no longer than 3 minutes. </w:t>
      </w:r>
    </w:p>
    <w:p w:rsidRPr="00221670" w:rsidR="00CB528D" w:rsidP="005544B7" w:rsidRDefault="00CB528D" w14:paraId="4621EED8" w14:textId="77777777">
      <w:pPr>
        <w:rPr>
          <w:color w:val="FF0000"/>
        </w:rPr>
      </w:pPr>
    </w:p>
    <w:p w:rsidRPr="00E03696" w:rsidR="00EB418C" w:rsidP="00EB418C" w:rsidRDefault="00EB418C" w14:paraId="59B471BE" w14:textId="77777777">
      <w:pPr>
        <w:jc w:val="both"/>
        <w:rPr>
          <w:b/>
          <w:bCs/>
          <w:color w:val="0070C0"/>
        </w:rPr>
      </w:pPr>
      <w:hyperlink w:history="1" w:anchor="Content">
        <w:r w:rsidRPr="00E03696">
          <w:rPr>
            <w:rStyle w:val="Hyperlink"/>
            <w:b/>
            <w:bCs/>
            <w:color w:val="0070C0"/>
          </w:rPr>
          <w:t>Click here to return to Content page</w:t>
        </w:r>
      </w:hyperlink>
      <w:r w:rsidRPr="00E03696">
        <w:rPr>
          <w:b/>
          <w:bCs/>
          <w:color w:val="0070C0"/>
        </w:rPr>
        <w:br w:type="page"/>
      </w:r>
    </w:p>
    <w:p w:rsidR="00D31504" w:rsidP="00F561C5" w:rsidRDefault="00357216" w14:paraId="4FC0146B" w14:textId="3BB14F39">
      <w:pPr>
        <w:pStyle w:val="Subheading"/>
      </w:pPr>
      <w:bookmarkStart w:name="developingwriting" w:id="3"/>
      <w:r>
        <w:lastRenderedPageBreak/>
        <w:t>Developing writing</w:t>
      </w:r>
    </w:p>
    <w:bookmarkEnd w:id="3"/>
    <w:p w:rsidR="007402AD" w:rsidP="00F561C5" w:rsidRDefault="007402AD" w14:paraId="614346D8" w14:textId="77777777">
      <w:pPr>
        <w:pStyle w:val="Subsubheading"/>
      </w:pPr>
      <w:r>
        <w:rPr>
          <w:rStyle w:val="normaltextrun"/>
        </w:rPr>
        <w:t xml:space="preserve">What this looks like in practice </w:t>
      </w:r>
    </w:p>
    <w:p w:rsidR="00743971" w:rsidP="00743971" w:rsidRDefault="00743971" w14:paraId="0169B53D" w14:textId="77777777">
      <w:pPr>
        <w:rPr>
          <w:rStyle w:val="normaltextrun"/>
        </w:rPr>
      </w:pPr>
      <w:r w:rsidRPr="00990A48">
        <w:rPr>
          <w:rStyle w:val="normaltextrun"/>
        </w:rPr>
        <w:t>Writing is a challenging activity</w:t>
      </w:r>
      <w:r>
        <w:rPr>
          <w:rStyle w:val="normaltextrun"/>
        </w:rPr>
        <w:t xml:space="preserve"> as it combines the expression of meaning (text generation) with the physical skills of handwriting (transcription) and spelling as well as placing demands on the cognitive load of pupils. </w:t>
      </w:r>
    </w:p>
    <w:p w:rsidRPr="0045791A" w:rsidR="00743971" w:rsidP="00743971" w:rsidRDefault="00743971" w14:paraId="6153BA40" w14:textId="061FDD8E">
      <w:pPr>
        <w:rPr>
          <w:rStyle w:val="normaltextrun"/>
          <w:rFonts w:ascii="Tahoma" w:hAnsi="Tahoma" w:cs="Tahoma"/>
          <w:szCs w:val="24"/>
        </w:rPr>
      </w:pPr>
      <w:r w:rsidRPr="00B33E48">
        <w:rPr>
          <w:rFonts w:ascii="Tahoma" w:hAnsi="Tahoma" w:cs="Tahoma"/>
          <w:szCs w:val="24"/>
        </w:rPr>
        <w:t>When considering planning writing activities</w:t>
      </w:r>
      <w:r>
        <w:rPr>
          <w:rFonts w:ascii="Tahoma" w:hAnsi="Tahoma" w:cs="Tahoma"/>
          <w:szCs w:val="24"/>
        </w:rPr>
        <w:t xml:space="preserve"> there are a</w:t>
      </w:r>
      <w:r w:rsidRPr="00B33E48">
        <w:rPr>
          <w:rFonts w:ascii="Tahoma" w:hAnsi="Tahoma" w:cs="Tahoma"/>
          <w:szCs w:val="24"/>
        </w:rPr>
        <w:t xml:space="preserve"> series of stages that can </w:t>
      </w:r>
      <w:r>
        <w:rPr>
          <w:rFonts w:ascii="Tahoma" w:hAnsi="Tahoma" w:cs="Tahoma"/>
          <w:szCs w:val="24"/>
        </w:rPr>
        <w:t>assist</w:t>
      </w:r>
      <w:r w:rsidRPr="00B33E48">
        <w:rPr>
          <w:rFonts w:ascii="Tahoma" w:hAnsi="Tahoma" w:cs="Tahoma"/>
          <w:szCs w:val="24"/>
        </w:rPr>
        <w:t xml:space="preserve"> teachers in supporting pupils to understand that writing is not a single event, rather it is a process</w:t>
      </w:r>
      <w:r>
        <w:rPr>
          <w:rFonts w:ascii="Tahoma" w:hAnsi="Tahoma" w:cs="Tahoma"/>
          <w:szCs w:val="24"/>
        </w:rPr>
        <w:t>. By thinking of a writing task as being made up of five stages, planning, drafting, revising, editing and publishing, teachers can then consider which strategies to employ to support pupils to undertake each of these stages of the writing process. For example, teachers could make use of a graphic organiser such</w:t>
      </w:r>
      <w:r w:rsidRPr="005505EA">
        <w:t xml:space="preserve"> as a timeline </w:t>
      </w:r>
      <w:r>
        <w:t>to support</w:t>
      </w:r>
      <w:r w:rsidRPr="005505EA">
        <w:t xml:space="preserve"> planning out chronological writing whereas a different type of organiser, such as a fishbone diagram may work well for planning cause and effect.</w:t>
      </w:r>
      <w:r>
        <w:rPr>
          <w:rFonts w:ascii="Tahoma" w:hAnsi="Tahoma" w:cs="Tahoma"/>
          <w:szCs w:val="24"/>
        </w:rPr>
        <w:t xml:space="preserve"> </w:t>
      </w:r>
      <w:r w:rsidRPr="0045791A">
        <w:t>Teachers can model the use of these organisers to help pupils to develop their understanding of text structures and apply this to their own writing, using these organisers as valuable planning</w:t>
      </w:r>
      <w:r w:rsidR="00437D58">
        <w:t xml:space="preserve"> tools</w:t>
      </w:r>
      <w:r>
        <w:t>.</w:t>
      </w:r>
    </w:p>
    <w:p w:rsidR="00743971" w:rsidP="00743971" w:rsidRDefault="00743971" w14:paraId="488235BA" w14:textId="13ADC6DE">
      <w:pPr>
        <w:rPr>
          <w:rStyle w:val="normaltextrun"/>
        </w:rPr>
      </w:pPr>
      <w:r w:rsidRPr="00E32121">
        <w:t xml:space="preserve">Further to this it may be necessary to provide pupils with word level, sentence level and whole text level instruction, focusing on the micro elements of writing, before tackling longer tasks. </w:t>
      </w:r>
      <w:r w:rsidRPr="00355862">
        <w:t xml:space="preserve">In addition, </w:t>
      </w:r>
      <w:r>
        <w:t>you can also</w:t>
      </w:r>
      <w:r w:rsidRPr="00355862">
        <w:t xml:space="preserve"> consider what words may signal a transition within a particular text structure and specifically teach these to pupils to support their writing development. For example, the words consequently, because and since are transitional worlds for writing about cause and effect.  </w:t>
      </w:r>
      <w:r>
        <w:t xml:space="preserve">Pupils should be supported to monitor and review their writing, and the use of checklists can be a helpful tool for facilitating this as well as providing opportunities for peer and self-assessment. </w:t>
      </w:r>
    </w:p>
    <w:p w:rsidRPr="00CC0746" w:rsidR="00F561C5" w:rsidP="00CC0746" w:rsidRDefault="00F561C5" w14:paraId="1520C798" w14:textId="27DB435F">
      <w:pPr>
        <w:pStyle w:val="Subsubheading"/>
      </w:pPr>
      <w:r w:rsidRPr="00CC0746">
        <w:t>Identifying the active ingredients</w:t>
      </w:r>
      <w:r w:rsidR="00D74EF9">
        <w:t xml:space="preserve"> </w:t>
      </w:r>
    </w:p>
    <w:p w:rsidRPr="007D0C64" w:rsidR="00BF1640" w:rsidP="00BF1640" w:rsidRDefault="00BF1640" w14:paraId="1B175F66" w14:textId="24C2E5CA">
      <w:pPr>
        <w:pStyle w:val="Subheading"/>
        <w:rPr>
          <w:rStyle w:val="normaltextrun"/>
          <w:b w:val="0"/>
          <w:bCs w:val="0"/>
          <w:color w:val="auto"/>
        </w:rPr>
      </w:pPr>
      <w:r w:rsidRPr="007D0C64">
        <w:rPr>
          <w:b w:val="0"/>
          <w:bCs w:val="0"/>
          <w:color w:val="auto"/>
        </w:rPr>
        <w:t xml:space="preserve">The following active ingredients can be used to </w:t>
      </w:r>
      <w:r>
        <w:rPr>
          <w:b w:val="0"/>
          <w:bCs w:val="0"/>
          <w:color w:val="auto"/>
        </w:rPr>
        <w:t>support the development of writing composition:</w:t>
      </w:r>
    </w:p>
    <w:p w:rsidR="003E7364" w:rsidP="003E7364" w:rsidRDefault="003E7364" w14:paraId="381A7EC4" w14:textId="77777777">
      <w:pPr>
        <w:pStyle w:val="ListParagraph"/>
        <w:numPr>
          <w:ilvl w:val="0"/>
          <w:numId w:val="26"/>
        </w:numPr>
        <w:spacing w:before="120" w:after="120"/>
      </w:pPr>
      <w:r w:rsidRPr="006048C0">
        <w:rPr>
          <w:b/>
          <w:bCs/>
        </w:rPr>
        <w:t>Explicitly model each stage of the writing process</w:t>
      </w:r>
      <w:r>
        <w:t xml:space="preserve"> (planning, drafting, revising, editing and publishing) with opportunities for guided practice allowing pupils to take increased responsibility for this over time.</w:t>
      </w:r>
    </w:p>
    <w:p w:rsidR="003E7364" w:rsidP="003E7364" w:rsidRDefault="003E7364" w14:paraId="6B7DF1B4" w14:textId="77777777">
      <w:pPr>
        <w:pStyle w:val="ListParagraph"/>
        <w:numPr>
          <w:ilvl w:val="0"/>
          <w:numId w:val="26"/>
        </w:numPr>
        <w:spacing w:before="120" w:after="120"/>
      </w:pPr>
      <w:r w:rsidRPr="006048C0">
        <w:rPr>
          <w:b/>
          <w:bCs/>
        </w:rPr>
        <w:t>Use visual aids</w:t>
      </w:r>
      <w:r>
        <w:t xml:space="preserve">, such as graphic organisers to support the development of planning, making use of different organisers depending on the nature of the writing. For example, a fishbone diagram can help with planning and cause and effect. </w:t>
      </w:r>
    </w:p>
    <w:p w:rsidR="003E7364" w:rsidP="003E7364" w:rsidRDefault="003E7364" w14:paraId="59AE71B0" w14:textId="77777777">
      <w:pPr>
        <w:pStyle w:val="ListParagraph"/>
        <w:numPr>
          <w:ilvl w:val="0"/>
          <w:numId w:val="26"/>
        </w:numPr>
        <w:spacing w:before="120" w:after="120"/>
      </w:pPr>
      <w:r w:rsidRPr="006048C0">
        <w:rPr>
          <w:b/>
          <w:bCs/>
        </w:rPr>
        <w:t>Provide checklists</w:t>
      </w:r>
      <w:r>
        <w:t xml:space="preserve"> for pupils to monitor their writing.</w:t>
      </w:r>
    </w:p>
    <w:p w:rsidR="003E7364" w:rsidP="003E7364" w:rsidRDefault="003E7364" w14:paraId="144C4AFA" w14:textId="77777777">
      <w:pPr>
        <w:pStyle w:val="ListParagraph"/>
        <w:numPr>
          <w:ilvl w:val="0"/>
          <w:numId w:val="26"/>
        </w:numPr>
        <w:spacing w:before="120" w:after="120"/>
      </w:pPr>
      <w:r w:rsidRPr="006048C0">
        <w:rPr>
          <w:b/>
          <w:bCs/>
        </w:rPr>
        <w:lastRenderedPageBreak/>
        <w:t>Focus on word, sentence and whole text level development</w:t>
      </w:r>
      <w:r>
        <w:t xml:space="preserve"> of writing, leading to higher quality responses.</w:t>
      </w:r>
    </w:p>
    <w:p w:rsidR="003E7364" w:rsidP="003E7364" w:rsidRDefault="003E7364" w14:paraId="4DE50AB9" w14:textId="77777777">
      <w:pPr>
        <w:spacing w:after="160" w:line="259" w:lineRule="auto"/>
        <w:rPr>
          <w:rStyle w:val="normaltextrun"/>
          <w:rFonts w:ascii="Tahoma" w:hAnsi="Tahoma" w:cs="Tahoma"/>
          <w:b/>
          <w:bCs/>
          <w:color w:val="007559" w:themeColor="accent1"/>
          <w:szCs w:val="24"/>
        </w:rPr>
      </w:pPr>
      <w:r>
        <w:t>Again, these</w:t>
      </w:r>
      <w:r w:rsidRPr="00C8295D">
        <w:t xml:space="preserve"> </w:t>
      </w:r>
      <w:r>
        <w:t xml:space="preserve">underlying </w:t>
      </w:r>
      <w:r w:rsidRPr="00C8295D">
        <w:t xml:space="preserve">active ingredients </w:t>
      </w:r>
      <w:r>
        <w:t xml:space="preserve">will remain the same but may look different depending on your phase or context. </w:t>
      </w:r>
    </w:p>
    <w:p w:rsidRPr="00F2080B" w:rsidR="0043412E" w:rsidP="0043412E" w:rsidRDefault="0043412E" w14:paraId="3D60D941" w14:textId="77777777">
      <w:pPr>
        <w:pStyle w:val="Subheading"/>
        <w:rPr>
          <w:color w:val="auto"/>
        </w:rPr>
      </w:pPr>
      <w:r w:rsidRPr="00F2080B">
        <w:rPr>
          <w:color w:val="auto"/>
        </w:rPr>
        <w:t xml:space="preserve">Examples </w:t>
      </w:r>
    </w:p>
    <w:p w:rsidR="005544B7" w:rsidP="005544B7" w:rsidRDefault="005544B7" w14:paraId="167FC4E6" w14:textId="79E4F2D1">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w:t>
      </w:r>
      <w:r>
        <w:rPr>
          <w:color w:val="FF0000"/>
        </w:rPr>
        <w:t>writing</w:t>
      </w:r>
      <w:r w:rsidRPr="00221670">
        <w:rPr>
          <w:color w:val="FF0000"/>
        </w:rPr>
        <w:t xml:space="preserve">. These should explicitly link to the active ingredients, demonstrating how and why they are effective. </w:t>
      </w:r>
    </w:p>
    <w:p w:rsidRPr="00221670" w:rsidR="005544B7" w:rsidP="005544B7" w:rsidRDefault="005544B7" w14:paraId="3EB1627A" w14:textId="77777777">
      <w:pPr>
        <w:rPr>
          <w:color w:val="FF0000"/>
        </w:rPr>
      </w:pPr>
      <w:r>
        <w:rPr>
          <w:color w:val="FF0000"/>
        </w:rPr>
        <w:t xml:space="preserve">You may wish to share these examples with mentors. </w:t>
      </w:r>
    </w:p>
    <w:p w:rsidR="005544B7" w:rsidP="005544B7" w:rsidRDefault="005544B7" w14:paraId="361BC1A1"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CB528D" w:rsidP="00CB528D" w:rsidRDefault="00CB528D" w14:paraId="67F301A9" w14:textId="77777777">
      <w:pPr>
        <w:rPr>
          <w:color w:val="FF0000"/>
        </w:rPr>
      </w:pPr>
      <w:r>
        <w:rPr>
          <w:color w:val="FF0000"/>
        </w:rPr>
        <w:t xml:space="preserve">Video exemplification should last no longer than 3 minutes. </w:t>
      </w:r>
    </w:p>
    <w:p w:rsidRPr="00221670" w:rsidR="00CB528D" w:rsidP="005544B7" w:rsidRDefault="00CB528D" w14:paraId="03D044FB" w14:textId="77777777">
      <w:pPr>
        <w:rPr>
          <w:color w:val="FF0000"/>
        </w:rPr>
      </w:pPr>
    </w:p>
    <w:p w:rsidR="006F4B0E" w:rsidP="006F4B0E" w:rsidRDefault="006F4B0E" w14:paraId="1F7D0F68" w14:textId="77777777">
      <w:pPr>
        <w:pStyle w:val="Heading"/>
      </w:pPr>
    </w:p>
    <w:p w:rsidRPr="00E03696" w:rsidR="00EB418C" w:rsidP="00EB418C" w:rsidRDefault="00EB418C" w14:paraId="2903D17B" w14:textId="12882365">
      <w:pPr>
        <w:jc w:val="both"/>
        <w:rPr>
          <w:b/>
          <w:bCs/>
          <w:color w:val="0070C0"/>
        </w:rPr>
      </w:pPr>
      <w:hyperlink w:history="1" w:anchor="Content">
        <w:r w:rsidRPr="00E03696">
          <w:rPr>
            <w:rStyle w:val="Hyperlink"/>
            <w:b/>
            <w:bCs/>
            <w:color w:val="0070C0"/>
          </w:rPr>
          <w:t>Click here to return to Content page</w:t>
        </w:r>
      </w:hyperlink>
    </w:p>
    <w:p w:rsidR="00584879" w:rsidRDefault="00584879" w14:paraId="2078AA48" w14:textId="586B8FC7">
      <w:pPr>
        <w:jc w:val="both"/>
        <w:rPr>
          <w:b/>
          <w:bCs/>
        </w:rPr>
      </w:pPr>
      <w:r>
        <w:rPr>
          <w:b/>
          <w:bCs/>
        </w:rPr>
        <w:br w:type="page"/>
      </w:r>
    </w:p>
    <w:p w:rsidR="002F3159" w:rsidP="002F3159" w:rsidRDefault="002F3159" w14:paraId="3D7A47B3" w14:textId="77777777">
      <w:pPr>
        <w:pStyle w:val="Heading"/>
      </w:pPr>
      <w:bookmarkStart w:name="Nextsteps" w:id="4"/>
      <w:r>
        <w:lastRenderedPageBreak/>
        <w:t xml:space="preserve">Next steps: preparing for your mentoring session </w:t>
      </w:r>
    </w:p>
    <w:p w:rsidRPr="00E03696" w:rsidR="00E03696" w:rsidP="00E03696" w:rsidRDefault="00E03696" w14:paraId="27AB2DC8" w14:textId="6C2A7C82">
      <w:pPr>
        <w:rPr>
          <w:b/>
          <w:bCs/>
        </w:rPr>
      </w:pPr>
      <w:r w:rsidRPr="007A6D96">
        <w:rPr>
          <w:b/>
          <w:bCs/>
        </w:rPr>
        <w:t>Approximate time to complete: 8 minutes</w:t>
      </w:r>
    </w:p>
    <w:bookmarkEnd w:id="4"/>
    <w:p w:rsidRPr="009E3BB9" w:rsidR="00A95969" w:rsidP="00A95969" w:rsidRDefault="00A95969" w14:paraId="6E967E8B" w14:textId="77777777">
      <w:pPr>
        <w:rPr>
          <w:color w:val="FF0000"/>
        </w:rPr>
      </w:pPr>
      <w:r w:rsidRPr="009E3BB9">
        <w:rPr>
          <w:color w:val="FF0000"/>
        </w:rPr>
        <w:t xml:space="preserve">The following next steps are suggestions of how you could support early career teachers to implement the learning from this elective self-study. Schools or trusts may wish to adapt this to meet the needs of their context and their ECTs and to align with systems used in their own settings.  </w:t>
      </w:r>
    </w:p>
    <w:p w:rsidRPr="00830712" w:rsidR="00863EB4" w:rsidP="00863EB4" w:rsidRDefault="00863EB4" w14:paraId="3B130147" w14:textId="77777777">
      <w:pPr>
        <w:pStyle w:val="Subheading"/>
      </w:pPr>
      <w:r w:rsidRPr="00EE7008">
        <w:rPr>
          <w:rStyle w:val="normaltextrun"/>
        </w:rPr>
        <w:t>Observing </w:t>
      </w:r>
      <w:r>
        <w:rPr>
          <w:rStyle w:val="normaltextrun"/>
        </w:rPr>
        <w:t xml:space="preserve">expertise practice </w:t>
      </w:r>
      <w:r w:rsidRPr="00EE7008">
        <w:rPr>
          <w:rStyle w:val="eop"/>
        </w:rPr>
        <w:t> </w:t>
      </w:r>
    </w:p>
    <w:p w:rsidR="00863EB4" w:rsidP="00863EB4" w:rsidRDefault="00863EB4" w14:paraId="15E7816B" w14:textId="3E4BD1B2">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a colleague </w:t>
      </w:r>
      <w:r>
        <w:rPr>
          <w:rFonts w:ascii="Tahoma" w:hAnsi="Tahoma" w:cs="Tahoma"/>
        </w:rPr>
        <w:t xml:space="preserve">in your school or within your trust </w:t>
      </w:r>
      <w:r w:rsidRPr="00BB3EE5" w:rsidR="00033512">
        <w:rPr>
          <w:rFonts w:ascii="Tahoma" w:hAnsi="Tahoma" w:cs="Tahoma"/>
        </w:rPr>
        <w:t xml:space="preserve">teaching a lesson that </w:t>
      </w:r>
      <w:r w:rsidR="00033512">
        <w:rPr>
          <w:rFonts w:ascii="Tahoma" w:hAnsi="Tahoma" w:cs="Tahoma"/>
        </w:rPr>
        <w:t>exemplifies approaches to a specific aspect teaching literacy. This does not need to be an English lesson. It could be vocabulary instruction, structured talk, reading comprehension or writing composition.</w:t>
      </w:r>
      <w:r w:rsidRPr="00BB3EE5" w:rsidR="00033512">
        <w:rPr>
          <w:rFonts w:ascii="Tahoma" w:hAnsi="Tahoma" w:cs="Tahoma"/>
        </w:rPr>
        <w:t xml:space="preserve"> </w:t>
      </w:r>
    </w:p>
    <w:p w:rsidRPr="00BB3EE5" w:rsidR="00033512" w:rsidP="00863EB4" w:rsidRDefault="00033512" w14:paraId="2A1C978D" w14:textId="77777777">
      <w:pPr>
        <w:pStyle w:val="paragraph"/>
        <w:spacing w:before="0" w:beforeAutospacing="0" w:after="0" w:afterAutospacing="0" w:line="276" w:lineRule="auto"/>
        <w:textAlignment w:val="baseline"/>
        <w:rPr>
          <w:rFonts w:ascii="Tahoma" w:hAnsi="Tahoma" w:cs="Tahoma"/>
        </w:rPr>
      </w:pPr>
    </w:p>
    <w:p w:rsidRPr="00BB3EE5" w:rsidR="00863EB4" w:rsidP="00863EB4" w:rsidRDefault="00863EB4" w14:paraId="6D5C996B" w14:textId="7777777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241096" w:rsidR="009350A5" w:rsidP="009350A5" w:rsidRDefault="009350A5" w14:paraId="1784ED35" w14:textId="77777777">
      <w:pPr>
        <w:pStyle w:val="ListParagraph"/>
        <w:numPr>
          <w:ilvl w:val="0"/>
          <w:numId w:val="28"/>
        </w:numPr>
        <w:spacing w:before="120" w:after="120"/>
        <w:rPr>
          <w:lang w:eastAsia="en-GB"/>
        </w:rPr>
      </w:pPr>
      <w:r w:rsidRPr="00241096">
        <w:rPr>
          <w:lang w:eastAsia="en-GB"/>
        </w:rPr>
        <w:t>How does the teacher explicitly teach vocabulary to support pupils to access new content?</w:t>
      </w:r>
    </w:p>
    <w:p w:rsidRPr="00241096" w:rsidR="009350A5" w:rsidP="009350A5" w:rsidRDefault="009350A5" w14:paraId="618CBDCE" w14:textId="77777777">
      <w:pPr>
        <w:pStyle w:val="ListParagraph"/>
        <w:numPr>
          <w:ilvl w:val="0"/>
          <w:numId w:val="28"/>
        </w:numPr>
        <w:spacing w:before="120" w:after="120"/>
        <w:rPr>
          <w:lang w:eastAsia="en-GB"/>
        </w:rPr>
      </w:pPr>
      <w:r w:rsidRPr="00241096">
        <w:rPr>
          <w:lang w:eastAsia="en-GB"/>
        </w:rPr>
        <w:t>What strategies does the teacher implement to support pupils to develop their reading comprehension skills?</w:t>
      </w:r>
    </w:p>
    <w:p w:rsidRPr="00241096" w:rsidR="009350A5" w:rsidP="009350A5" w:rsidRDefault="009350A5" w14:paraId="6F5A6079" w14:textId="77777777">
      <w:pPr>
        <w:pStyle w:val="ListParagraph"/>
        <w:numPr>
          <w:ilvl w:val="0"/>
          <w:numId w:val="28"/>
        </w:numPr>
        <w:spacing w:before="120" w:after="120"/>
        <w:rPr>
          <w:lang w:eastAsia="en-GB"/>
        </w:rPr>
      </w:pPr>
      <w:r w:rsidRPr="00241096">
        <w:rPr>
          <w:lang w:eastAsia="en-GB"/>
        </w:rPr>
        <w:t>What strategies does the teacher implement to support pupils to develop their writing skills?</w:t>
      </w:r>
    </w:p>
    <w:p w:rsidRPr="00BB3EE5" w:rsidR="00863EB4" w:rsidP="00863EB4" w:rsidRDefault="00863EB4" w14:paraId="4F27909E" w14:textId="77777777">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rsidR="00033512" w:rsidP="00863EB4" w:rsidRDefault="00033512" w14:paraId="0C880D87" w14:textId="77777777">
      <w:pPr>
        <w:pStyle w:val="Subheading"/>
      </w:pPr>
    </w:p>
    <w:p w:rsidR="00863EB4" w:rsidP="00863EB4" w:rsidRDefault="00863EB4" w14:paraId="2F68E976" w14:textId="29D286BF">
      <w:pPr>
        <w:pStyle w:val="Subheading"/>
      </w:pPr>
      <w:r>
        <w:t xml:space="preserve">ECT reflection </w:t>
      </w:r>
    </w:p>
    <w:p w:rsidR="00863EB4" w:rsidP="00863EB4" w:rsidRDefault="00863EB4" w14:paraId="66D12889" w14:textId="4132821F">
      <w:r w:rsidRPr="00E93BDE">
        <w:t xml:space="preserve">In their elective self-study </w:t>
      </w:r>
      <w:r w:rsidR="00AC3238">
        <w:t>5</w:t>
      </w:r>
      <w:r w:rsidRPr="00E93BDE">
        <w:t xml:space="preserve">, ECTs were asked to reflect on a scenario in relation to </w:t>
      </w:r>
      <w:r w:rsidR="00AC3238">
        <w:t>enhancing the literacy skills of all pupils</w:t>
      </w:r>
      <w:r w:rsidRPr="00E93BDE">
        <w:t>. Select the appropriate scenario for your phase to review this:</w:t>
      </w:r>
      <w:r>
        <w:t xml:space="preserve"> </w:t>
      </w:r>
    </w:p>
    <w:p w:rsidR="004134F8" w:rsidP="00584879" w:rsidRDefault="004134F8" w14:paraId="3A2FA0A6" w14:textId="77777777"/>
    <w:tbl>
      <w:tblPr>
        <w:tblStyle w:val="TableGrid1"/>
        <w:tblW w:w="8220" w:type="dxa"/>
        <w:jc w:val="center"/>
        <w:tblLook w:val="04A0" w:firstRow="1" w:lastRow="0" w:firstColumn="1" w:lastColumn="0" w:noHBand="0" w:noVBand="1"/>
      </w:tblPr>
      <w:tblGrid>
        <w:gridCol w:w="1644"/>
        <w:gridCol w:w="1644"/>
        <w:gridCol w:w="1644"/>
        <w:gridCol w:w="1644"/>
        <w:gridCol w:w="1644"/>
      </w:tblGrid>
      <w:tr w:rsidR="0097628E" w:rsidTr="0097628E" w14:paraId="57E06C49" w14:textId="77777777">
        <w:trPr>
          <w:jc w:val="center"/>
        </w:trPr>
        <w:tc>
          <w:tcPr>
            <w:tcW w:w="1644" w:type="dxa"/>
          </w:tcPr>
          <w:p w:rsidRPr="00E03696" w:rsidR="0097628E" w:rsidP="00D156A1" w:rsidRDefault="0097628E" w14:paraId="3218DDDA" w14:textId="1C8DF548">
            <w:pPr>
              <w:jc w:val="center"/>
              <w:rPr>
                <w:color w:val="0070C0"/>
              </w:rPr>
            </w:pPr>
            <w:hyperlink w:history="1" w:anchor="eyfsscenario">
              <w:r w:rsidRPr="00E03696">
                <w:rPr>
                  <w:rStyle w:val="Hyperlink"/>
                  <w:rFonts w:asciiTheme="minorHAnsi" w:hAnsiTheme="minorHAnsi" w:eastAsiaTheme="minorEastAsia" w:cstheme="minorHAnsi"/>
                  <w:color w:val="0070C0"/>
                  <w:spacing w:val="0"/>
                  <w:kern w:val="0"/>
                </w:rPr>
                <w:t>EYFS</w:t>
              </w:r>
            </w:hyperlink>
          </w:p>
        </w:tc>
        <w:tc>
          <w:tcPr>
            <w:tcW w:w="1644" w:type="dxa"/>
          </w:tcPr>
          <w:p w:rsidRPr="00E03696" w:rsidR="0097628E" w:rsidP="00D156A1" w:rsidRDefault="0097628E" w14:paraId="7F03D214" w14:textId="778A0AD6">
            <w:pPr>
              <w:jc w:val="center"/>
              <w:rPr>
                <w:color w:val="0070C0"/>
              </w:rPr>
            </w:pPr>
            <w:hyperlink w:history="1" w:anchor="primaryscenario">
              <w:r w:rsidRPr="00E03696">
                <w:rPr>
                  <w:rStyle w:val="Hyperlink"/>
                  <w:rFonts w:asciiTheme="minorHAnsi" w:hAnsiTheme="minorHAnsi" w:eastAsiaTheme="minorEastAsia" w:cstheme="minorHAnsi"/>
                  <w:color w:val="0070C0"/>
                  <w:spacing w:val="0"/>
                  <w:kern w:val="0"/>
                </w:rPr>
                <w:t>Primary</w:t>
              </w:r>
            </w:hyperlink>
          </w:p>
        </w:tc>
        <w:tc>
          <w:tcPr>
            <w:tcW w:w="1644" w:type="dxa"/>
          </w:tcPr>
          <w:p w:rsidRPr="00E03696" w:rsidR="0097628E" w:rsidP="00D156A1" w:rsidRDefault="0097628E" w14:paraId="509F39F5" w14:textId="4BF5777C">
            <w:pPr>
              <w:jc w:val="center"/>
              <w:rPr>
                <w:color w:val="0070C0"/>
              </w:rPr>
            </w:pPr>
            <w:hyperlink w:history="1" w:anchor="secondaryscenario">
              <w:r w:rsidRPr="00E03696">
                <w:rPr>
                  <w:rStyle w:val="Hyperlink"/>
                  <w:rFonts w:asciiTheme="minorHAnsi" w:hAnsiTheme="minorHAnsi" w:eastAsiaTheme="minorEastAsia" w:cstheme="minorHAnsi"/>
                  <w:color w:val="0070C0"/>
                  <w:spacing w:val="0"/>
                  <w:kern w:val="0"/>
                </w:rPr>
                <w:t>Secondary</w:t>
              </w:r>
            </w:hyperlink>
          </w:p>
        </w:tc>
        <w:tc>
          <w:tcPr>
            <w:tcW w:w="1644" w:type="dxa"/>
          </w:tcPr>
          <w:p w:rsidRPr="00E03696" w:rsidR="0097628E" w:rsidP="00033512" w:rsidRDefault="0097628E" w14:paraId="077F4D0A" w14:textId="1EA57422">
            <w:pPr>
              <w:jc w:val="center"/>
              <w:rPr>
                <w:color w:val="0070C0"/>
              </w:rPr>
            </w:pPr>
            <w:hyperlink w:history="1" w:anchor="SENDscenario">
              <w:r w:rsidRPr="00033512">
                <w:rPr>
                  <w:rStyle w:val="Hyperlink"/>
                  <w:rFonts w:asciiTheme="minorHAnsi" w:hAnsiTheme="minorHAnsi" w:eastAsiaTheme="minorEastAsia" w:cstheme="minorHAnsi"/>
                  <w:color w:val="0070C0"/>
                  <w:spacing w:val="0"/>
                  <w:kern w:val="0"/>
                </w:rPr>
                <w:t>Specialist - SEND s</w:t>
              </w:r>
              <w:r w:rsidRPr="00033512">
                <w:rPr>
                  <w:rStyle w:val="Hyperlink"/>
                  <w:color w:val="0070C0"/>
                </w:rPr>
                <w:t>etting</w:t>
              </w:r>
            </w:hyperlink>
          </w:p>
        </w:tc>
        <w:tc>
          <w:tcPr>
            <w:tcW w:w="1644" w:type="dxa"/>
          </w:tcPr>
          <w:p w:rsidRPr="00E03696" w:rsidR="0097628E" w:rsidP="00033512" w:rsidRDefault="0097628E" w14:paraId="5DE290F8" w14:textId="5D1478E9">
            <w:pPr>
              <w:jc w:val="center"/>
              <w:rPr>
                <w:color w:val="0070C0"/>
              </w:rPr>
            </w:pPr>
            <w:hyperlink w:history="1" w:anchor="apscenario">
              <w:r w:rsidRPr="00033512">
                <w:rPr>
                  <w:rStyle w:val="Hyperlink"/>
                  <w:rFonts w:asciiTheme="minorHAnsi" w:hAnsiTheme="minorHAnsi" w:eastAsiaTheme="minorEastAsia" w:cstheme="minorHAnsi"/>
                  <w:color w:val="0070C0"/>
                  <w:spacing w:val="0"/>
                  <w:kern w:val="0"/>
                </w:rPr>
                <w:t>Specialist - Alternative provision</w:t>
              </w:r>
            </w:hyperlink>
          </w:p>
        </w:tc>
      </w:tr>
    </w:tbl>
    <w:p w:rsidR="00E01D88" w:rsidP="00584879" w:rsidRDefault="00E01D88" w14:paraId="514DD608" w14:textId="77777777"/>
    <w:tbl>
      <w:tblPr>
        <w:tblStyle w:val="Style5"/>
        <w:tblW w:w="0" w:type="auto"/>
        <w:shd w:val="clear" w:color="auto" w:fill="FDE9FD"/>
        <w:tblLook w:val="04A0" w:firstRow="1" w:lastRow="0" w:firstColumn="1" w:lastColumn="0" w:noHBand="0" w:noVBand="1"/>
      </w:tblPr>
      <w:tblGrid>
        <w:gridCol w:w="9016"/>
      </w:tblGrid>
      <w:tr w:rsidRPr="00002974" w:rsidR="00323A3D" w:rsidTr="00087596" w14:paraId="1BE5F12B" w14:textId="77777777">
        <w:tc>
          <w:tcPr>
            <w:tcW w:w="9016" w:type="dxa"/>
            <w:shd w:val="clear" w:color="auto" w:fill="FDE9FD"/>
          </w:tcPr>
          <w:p w:rsidRPr="00002974" w:rsidR="00323A3D" w:rsidP="00087596" w:rsidRDefault="00323A3D" w14:paraId="60C25FE6"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CD7179" w:rsidP="00584879" w:rsidRDefault="00CD7179" w14:paraId="10C14EC3" w14:textId="77777777">
      <w:pPr>
        <w:rPr>
          <w:rStyle w:val="normaltextrun"/>
          <w:b/>
          <w:bCs/>
          <w:color w:val="7030A0"/>
        </w:rPr>
      </w:pPr>
    </w:p>
    <w:p w:rsidRPr="00DC105C" w:rsidR="00DC105C" w:rsidP="00584879" w:rsidRDefault="00DC105C" w14:paraId="2E7AC6CF" w14:textId="638EB1D6">
      <w:pPr>
        <w:rPr>
          <w:b/>
          <w:bCs/>
          <w:color w:val="7030A0"/>
        </w:rPr>
      </w:pPr>
      <w:bookmarkStart w:name="eyfsscenario" w:id="5"/>
      <w:r>
        <w:rPr>
          <w:rStyle w:val="normaltextrun"/>
          <w:b/>
          <w:bCs/>
          <w:color w:val="7030A0"/>
        </w:rPr>
        <w:lastRenderedPageBreak/>
        <w:t>EYFS</w:t>
      </w:r>
      <w:r w:rsidRPr="00BC661D">
        <w:rPr>
          <w:rStyle w:val="normaltextrun"/>
          <w:b/>
          <w:bCs/>
          <w:color w:val="7030A0"/>
        </w:rPr>
        <w:t xml:space="preserve"> scenario</w:t>
      </w:r>
    </w:p>
    <w:tbl>
      <w:tblPr>
        <w:tblStyle w:val="TableGrid1"/>
        <w:tblW w:w="0" w:type="auto"/>
        <w:tblBorders>
          <w:top w:val="single" w:color="530F93" w:themeColor="text2" w:sz="18" w:space="0"/>
          <w:left w:val="single" w:color="530F93" w:themeColor="text2" w:sz="18" w:space="0"/>
          <w:bottom w:val="single" w:color="530F93" w:themeColor="text2" w:sz="18" w:space="0"/>
          <w:right w:val="single" w:color="530F93" w:themeColor="text2" w:sz="18" w:space="0"/>
          <w:insideH w:val="single" w:color="530F93" w:themeColor="text2" w:sz="18" w:space="0"/>
          <w:insideV w:val="single" w:color="530F93" w:themeColor="text2" w:sz="18" w:space="0"/>
        </w:tblBorders>
        <w:tblLook w:val="04A0" w:firstRow="1" w:lastRow="0" w:firstColumn="1" w:lastColumn="0" w:noHBand="0" w:noVBand="1"/>
      </w:tblPr>
      <w:tblGrid>
        <w:gridCol w:w="8980"/>
      </w:tblGrid>
      <w:tr w:rsidR="00584879" w:rsidTr="00033ED3" w14:paraId="64C41D10" w14:textId="77777777">
        <w:tc>
          <w:tcPr>
            <w:tcW w:w="8980" w:type="dxa"/>
            <w:shd w:val="clear" w:color="auto" w:fill="F0E1FF" w:themeFill="accent3" w:themeFillTint="33"/>
          </w:tcPr>
          <w:bookmarkEnd w:id="5"/>
          <w:p w:rsidR="008A2867" w:rsidP="008A2867" w:rsidRDefault="008A2867" w14:paraId="2C2CDAC1" w14:textId="77777777">
            <w:r w:rsidRPr="00823DB1">
              <w:t xml:space="preserve">Mr. Brady has provided his reception class with some images of the desert to use a stimulus for them to craft a sentence about what conditions are like in that environment. This is part of a wider topic on understanding the features of different environments. </w:t>
            </w:r>
            <w:r>
              <w:t xml:space="preserve">He had previously asked them to write a sentence of what it might be like in a rainforest and was disappointed that most pupils had struggled to complete this, lacking the key words needed to highlight this environment. He thinks that by now providing them with a visual stimulus they will be able to produce a more effective sentence. </w:t>
            </w:r>
          </w:p>
          <w:p w:rsidRPr="00B86440" w:rsidR="008A2867" w:rsidP="008A2867" w:rsidRDefault="008A2867" w14:paraId="4FD0EFC9" w14:textId="77777777">
            <w:r>
              <w:t xml:space="preserve">As Mr Brady circulates the room to monitor the pupils writing he is again disappointed to note that not only are the pupils struggling to come up with key words for the features of a desert they are also struggling to start their sentence. </w:t>
            </w:r>
          </w:p>
          <w:p w:rsidRPr="00EE77A8" w:rsidR="008A2867" w:rsidP="008A2867" w:rsidRDefault="008A2867" w14:paraId="1D8BCB69" w14:textId="77777777">
            <w:pPr>
              <w:rPr>
                <w:b/>
                <w:bCs/>
              </w:rPr>
            </w:pPr>
            <w:r w:rsidRPr="00EE77A8">
              <w:rPr>
                <w:b/>
                <w:bCs/>
              </w:rPr>
              <w:t xml:space="preserve">Reflect on the content of the elective self-study as you consider which approaches would be effective in helping Mr Brady to ensure that his pupils are able to craft more effective sentences. </w:t>
            </w:r>
          </w:p>
          <w:p w:rsidRPr="001A4C80" w:rsidR="008A2867" w:rsidP="008A2867" w:rsidRDefault="008A2867" w14:paraId="1707495F" w14:textId="77777777">
            <w:pPr>
              <w:rPr>
                <w:b/>
                <w:bCs/>
              </w:rPr>
            </w:pPr>
            <w:r w:rsidRPr="001A4C80">
              <w:rPr>
                <w:b/>
                <w:bCs/>
              </w:rPr>
              <w:t>Here are some options that can support your reflection:</w:t>
            </w:r>
          </w:p>
          <w:p w:rsidRPr="00517F2D" w:rsidR="008A2867" w:rsidP="008A2867" w:rsidRDefault="008A2867" w14:paraId="0D968D45" w14:textId="77777777">
            <w:pPr>
              <w:numPr>
                <w:ilvl w:val="0"/>
                <w:numId w:val="32"/>
              </w:numPr>
              <w:spacing w:before="100" w:beforeAutospacing="1" w:after="100" w:afterAutospacing="1" w:line="240" w:lineRule="auto"/>
              <w:rPr>
                <w:rFonts w:eastAsia="Times New Roman"/>
                <w:szCs w:val="24"/>
                <w:lang w:eastAsia="en-GB"/>
              </w:rPr>
            </w:pPr>
            <w:r>
              <w:rPr>
                <w:rFonts w:eastAsia="Times New Roman"/>
                <w:szCs w:val="24"/>
                <w:lang w:eastAsia="en-GB"/>
              </w:rPr>
              <w:t>Explicitly teach some of the key vocabulary that is associated with the characteristics of the desert</w:t>
            </w:r>
            <w:r w:rsidRPr="00517F2D">
              <w:rPr>
                <w:rFonts w:eastAsia="Times New Roman"/>
                <w:szCs w:val="24"/>
                <w:lang w:eastAsia="en-GB"/>
              </w:rPr>
              <w:t xml:space="preserve">. </w:t>
            </w:r>
          </w:p>
          <w:p w:rsidR="008A2867" w:rsidP="008A2867" w:rsidRDefault="008A2867" w14:paraId="77CFC36A" w14:textId="77777777">
            <w:pPr>
              <w:numPr>
                <w:ilvl w:val="0"/>
                <w:numId w:val="32"/>
              </w:numPr>
              <w:spacing w:before="100" w:beforeAutospacing="1" w:after="100" w:afterAutospacing="1" w:line="240" w:lineRule="auto"/>
            </w:pPr>
            <w:r>
              <w:t xml:space="preserve">Model what a good sentence looks like using some of the key terms that you would expect the pupils to use. </w:t>
            </w:r>
          </w:p>
          <w:p w:rsidR="00584879" w:rsidP="008A2867" w:rsidRDefault="008A2867" w14:paraId="6FE2A440" w14:textId="0B1D22E1">
            <w:pPr>
              <w:numPr>
                <w:ilvl w:val="0"/>
                <w:numId w:val="32"/>
              </w:numPr>
              <w:spacing w:before="100" w:beforeAutospacing="1" w:after="100" w:afterAutospacing="1" w:line="240" w:lineRule="auto"/>
            </w:pPr>
            <w:r>
              <w:rPr>
                <w:rStyle w:val="normaltextrun"/>
              </w:rPr>
              <w:t>Give the pupils the chance to verbally rehearse their sentence before writing it down.</w:t>
            </w:r>
          </w:p>
        </w:tc>
      </w:tr>
    </w:tbl>
    <w:p w:rsidR="0092057F" w:rsidP="00584879" w:rsidRDefault="0092057F" w14:paraId="0930D1C5" w14:textId="77777777"/>
    <w:bookmarkStart w:name="primaryscenariostart" w:id="6"/>
    <w:p w:rsidRPr="00E03696" w:rsidR="00BC2ED5" w:rsidP="00BC2ED5" w:rsidRDefault="00BC2ED5" w14:paraId="14FFBC7B" w14:textId="77777777">
      <w:pPr>
        <w:jc w:val="both"/>
        <w:rPr>
          <w:b/>
          <w:bCs/>
          <w:color w:val="0070C0"/>
        </w:rPr>
      </w:pPr>
      <w:r>
        <w:fldChar w:fldCharType="begin"/>
      </w:r>
      <w:r>
        <w:instrText>HYPERLINK \l "Content"</w:instrText>
      </w:r>
      <w:r>
        <w:fldChar w:fldCharType="separate"/>
      </w:r>
      <w:r w:rsidRPr="00E03696">
        <w:rPr>
          <w:rStyle w:val="Hyperlink"/>
          <w:b/>
          <w:bCs/>
          <w:color w:val="0070C0"/>
        </w:rPr>
        <w:t>Click here to return to Content page</w:t>
      </w:r>
      <w:r>
        <w:fldChar w:fldCharType="end"/>
      </w:r>
    </w:p>
    <w:p w:rsidR="004E36B8" w:rsidP="004E36B8" w:rsidRDefault="004E36B8" w14:paraId="4463F136" w14:textId="77777777">
      <w:pPr>
        <w:rPr>
          <w:b/>
          <w:bCs/>
          <w:color w:val="7030A0"/>
        </w:rPr>
      </w:pPr>
    </w:p>
    <w:p w:rsidR="004E36B8" w:rsidP="004E36B8" w:rsidRDefault="004E36B8" w14:paraId="56EDEB4C" w14:textId="77777777"/>
    <w:p w:rsidR="004E36B8" w:rsidP="004E36B8" w:rsidRDefault="004E36B8" w14:paraId="49942A72" w14:textId="77777777"/>
    <w:p w:rsidR="004E36B8" w:rsidP="004E36B8" w:rsidRDefault="004E36B8" w14:paraId="67CF87C0" w14:textId="77777777"/>
    <w:p w:rsidR="004E36B8" w:rsidP="004E36B8" w:rsidRDefault="004E36B8" w14:paraId="1D68FBA0" w14:textId="77777777"/>
    <w:p w:rsidR="004E36B8" w:rsidP="004E36B8" w:rsidRDefault="004E36B8" w14:paraId="4B0861C4" w14:textId="77777777"/>
    <w:p w:rsidR="00BC2ED5" w:rsidRDefault="00BC2ED5" w14:paraId="045925C5" w14:textId="77777777">
      <w:pPr>
        <w:jc w:val="both"/>
        <w:rPr>
          <w:b/>
          <w:bCs/>
          <w:color w:val="7030A0"/>
        </w:rPr>
      </w:pPr>
      <w:bookmarkStart w:name="primaryscenario" w:id="7"/>
      <w:r>
        <w:rPr>
          <w:b/>
          <w:bCs/>
          <w:color w:val="7030A0"/>
        </w:rPr>
        <w:br w:type="page"/>
      </w:r>
    </w:p>
    <w:p w:rsidRPr="004E36B8" w:rsidR="004E36B8" w:rsidP="004E36B8" w:rsidRDefault="004E36B8" w14:paraId="5DCF514B" w14:textId="35C5E7C4">
      <w:pPr>
        <w:rPr>
          <w:b/>
          <w:bCs/>
          <w:color w:val="7030A0"/>
        </w:rPr>
      </w:pPr>
      <w:r w:rsidRPr="004E36B8">
        <w:rPr>
          <w:b/>
          <w:bCs/>
          <w:color w:val="7030A0"/>
        </w:rPr>
        <w:lastRenderedPageBreak/>
        <w:t>Primary scenario</w:t>
      </w:r>
    </w:p>
    <w:tbl>
      <w:tblPr>
        <w:tblStyle w:val="Style3"/>
        <w:tblW w:w="0" w:type="auto"/>
        <w:tblLook w:val="04A0" w:firstRow="1" w:lastRow="0" w:firstColumn="1" w:lastColumn="0" w:noHBand="0" w:noVBand="1"/>
      </w:tblPr>
      <w:tblGrid>
        <w:gridCol w:w="8996"/>
      </w:tblGrid>
      <w:tr w:rsidRPr="004E36B8" w:rsidR="004E36B8" w:rsidTr="00D156A1" w14:paraId="09D898FE" w14:textId="77777777">
        <w:tc>
          <w:tcPr>
            <w:tcW w:w="9016" w:type="dxa"/>
          </w:tcPr>
          <w:bookmarkEnd w:id="6"/>
          <w:bookmarkEnd w:id="7"/>
          <w:p w:rsidRPr="004E36B8" w:rsidR="004E36B8" w:rsidP="004E36B8" w:rsidRDefault="004E36B8" w14:paraId="756EA50D" w14:textId="77777777">
            <w:r w:rsidRPr="004E36B8">
              <w:t xml:space="preserve">Year 4 teacher Mr Brady is reading the book ‘The Land of Roar’ by Jenny McLachlan with his class. Using their reading sessions across the half term he has been reading both with and to the pupils, giving them opportunities to read aloud, to be read to and for some small sections of silent reading. The class have completed the first two chapters of the story and Mr Brady wants to assess their comprehension of the text. He sets them a series of comprehension-based questions ranging from the key attributes of the characters to asking them to provide a summary of the main points within the chapters and some predictions of what they think might happen next.   </w:t>
            </w:r>
          </w:p>
          <w:p w:rsidRPr="004E36B8" w:rsidR="004E36B8" w:rsidP="004E36B8" w:rsidRDefault="004E36B8" w14:paraId="30BED8C3" w14:textId="77777777">
            <w:r w:rsidRPr="004E36B8">
              <w:t xml:space="preserve">Mr Brady reads through the responses from the class and is disappointed to realise that there are some misconceptions amongst the pupils about the characters and some of the summaries of the first two chapters are missing some vital key points. </w:t>
            </w:r>
          </w:p>
          <w:p w:rsidRPr="00A17D42" w:rsidR="0034156D" w:rsidP="0034156D" w:rsidRDefault="0034156D" w14:paraId="36E9D2C4" w14:textId="77777777">
            <w:pPr>
              <w:rPr>
                <w:b/>
                <w:bCs/>
              </w:rPr>
            </w:pPr>
            <w:r w:rsidRPr="00A17D42">
              <w:rPr>
                <w:b/>
                <w:bCs/>
              </w:rPr>
              <w:t xml:space="preserve">Reflect on the content of the elective self-study as you consider which approaches would be effective in helping Mr Brady to ensure that his pupils are better able to answer the comprehension questions.   </w:t>
            </w:r>
          </w:p>
          <w:p w:rsidRPr="00A17D42" w:rsidR="0034156D" w:rsidP="0034156D" w:rsidRDefault="0034156D" w14:paraId="43476BF7" w14:textId="77777777">
            <w:pPr>
              <w:rPr>
                <w:b/>
                <w:bCs/>
              </w:rPr>
            </w:pPr>
            <w:r w:rsidRPr="00A17D42">
              <w:rPr>
                <w:b/>
                <w:bCs/>
              </w:rPr>
              <w:t>Here are some options that can support your reflection:</w:t>
            </w:r>
          </w:p>
          <w:p w:rsidRPr="001422F2" w:rsidR="0034156D" w:rsidP="0034156D" w:rsidRDefault="0034156D" w14:paraId="2605B681" w14:textId="77777777">
            <w:pPr>
              <w:numPr>
                <w:ilvl w:val="0"/>
                <w:numId w:val="33"/>
              </w:numPr>
              <w:spacing w:before="100" w:beforeAutospacing="1" w:after="100" w:afterAutospacing="1"/>
              <w:rPr>
                <w:rFonts w:eastAsia="Times New Roman"/>
                <w:szCs w:val="24"/>
                <w:lang w:eastAsia="en-GB"/>
              </w:rPr>
            </w:pPr>
            <w:r w:rsidRPr="001422F2">
              <w:rPr>
                <w:rFonts w:eastAsia="Times New Roman"/>
                <w:szCs w:val="24"/>
                <w:lang w:eastAsia="en-GB"/>
              </w:rPr>
              <w:t xml:space="preserve">Question the pupils at key points during the reading of the text, asking them about the features of the characters or what has happened within the plot. </w:t>
            </w:r>
          </w:p>
          <w:p w:rsidRPr="0034156D" w:rsidR="0034156D" w:rsidP="0034156D" w:rsidRDefault="0034156D" w14:paraId="533DE35C" w14:textId="77777777">
            <w:pPr>
              <w:numPr>
                <w:ilvl w:val="0"/>
                <w:numId w:val="33"/>
              </w:numPr>
              <w:spacing w:before="100" w:beforeAutospacing="1" w:after="100" w:afterAutospacing="1"/>
              <w:rPr>
                <w:b/>
                <w:bCs/>
              </w:rPr>
            </w:pPr>
            <w:r w:rsidRPr="001422F2">
              <w:rPr>
                <w:rFonts w:eastAsia="Times New Roman"/>
                <w:szCs w:val="24"/>
                <w:lang w:eastAsia="en-GB"/>
              </w:rPr>
              <w:t xml:space="preserve">Pick out key terms within the text to focus on and pre-teach the meaning of these words. </w:t>
            </w:r>
          </w:p>
          <w:p w:rsidRPr="004E36B8" w:rsidR="004E36B8" w:rsidP="0034156D" w:rsidRDefault="0034156D" w14:paraId="248E8031" w14:textId="00E7AF54">
            <w:pPr>
              <w:numPr>
                <w:ilvl w:val="0"/>
                <w:numId w:val="33"/>
              </w:numPr>
              <w:spacing w:before="100" w:beforeAutospacing="1" w:after="100" w:afterAutospacing="1"/>
              <w:rPr>
                <w:b/>
                <w:bCs/>
              </w:rPr>
            </w:pPr>
            <w:r w:rsidRPr="001422F2">
              <w:rPr>
                <w:rStyle w:val="normaltextrun"/>
                <w:rFonts w:eastAsia="Times New Roman"/>
                <w:szCs w:val="24"/>
                <w:lang w:eastAsia="en-GB"/>
              </w:rPr>
              <w:t>Use guided practice and annotate the text alongside the pupils, picking out the key features of the story</w:t>
            </w:r>
          </w:p>
        </w:tc>
      </w:tr>
    </w:tbl>
    <w:p w:rsidRPr="004E36B8" w:rsidR="004E36B8" w:rsidP="004E36B8" w:rsidRDefault="004E36B8" w14:paraId="5571FCCC" w14:textId="77777777">
      <w:pPr>
        <w:rPr>
          <w:b/>
          <w:bCs/>
          <w:color w:val="7030A0"/>
        </w:rPr>
      </w:pPr>
    </w:p>
    <w:bookmarkStart w:name="secondaryscenario" w:id="8"/>
    <w:p w:rsidRPr="00E03696" w:rsidR="00BC2ED5" w:rsidP="00BC2ED5" w:rsidRDefault="00BC2ED5" w14:paraId="26046A0A" w14:textId="77777777">
      <w:pPr>
        <w:jc w:val="both"/>
        <w:rPr>
          <w:b/>
          <w:bCs/>
          <w:color w:val="0070C0"/>
        </w:rPr>
      </w:pPr>
      <w:r>
        <w:fldChar w:fldCharType="begin"/>
      </w:r>
      <w:r>
        <w:instrText>HYPERLINK \l "Content"</w:instrText>
      </w:r>
      <w:r>
        <w:fldChar w:fldCharType="separate"/>
      </w:r>
      <w:r w:rsidRPr="00E03696">
        <w:rPr>
          <w:rStyle w:val="Hyperlink"/>
          <w:b/>
          <w:bCs/>
          <w:color w:val="0070C0"/>
        </w:rPr>
        <w:t>Click here to return to Content page</w:t>
      </w:r>
      <w:r>
        <w:fldChar w:fldCharType="end"/>
      </w:r>
    </w:p>
    <w:p w:rsidR="0034156D" w:rsidRDefault="0034156D" w14:paraId="5271CA79" w14:textId="77777777">
      <w:pPr>
        <w:jc w:val="both"/>
        <w:rPr>
          <w:rStyle w:val="normaltextrun"/>
          <w:b/>
          <w:bCs/>
          <w:color w:val="7030A0"/>
        </w:rPr>
      </w:pPr>
      <w:r>
        <w:rPr>
          <w:rStyle w:val="normaltextrun"/>
          <w:b/>
          <w:bCs/>
          <w:color w:val="7030A0"/>
        </w:rPr>
        <w:br w:type="page"/>
      </w:r>
    </w:p>
    <w:p w:rsidR="0092057F" w:rsidP="0092057F" w:rsidRDefault="0092057F" w14:paraId="75B41F5F" w14:textId="084822F5">
      <w:pPr>
        <w:rPr>
          <w:rStyle w:val="normaltextrun"/>
          <w:b/>
          <w:bCs/>
          <w:color w:val="7030A0"/>
        </w:rPr>
      </w:pPr>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92057F" w:rsidTr="00D156A1" w14:paraId="7745D185" w14:textId="77777777">
        <w:tc>
          <w:tcPr>
            <w:tcW w:w="9016" w:type="dxa"/>
          </w:tcPr>
          <w:bookmarkEnd w:id="8"/>
          <w:p w:rsidR="0092057F" w:rsidP="00D156A1" w:rsidRDefault="0092057F" w14:paraId="1A247BD2" w14:textId="77777777">
            <w:r>
              <w:t xml:space="preserve">Mr Brady has collected in a piece of extending writing from his Year 9 history class, focusing on the causes of the First World War. Pupils have been working on this piece of writing for two lessons, having spent most of the half term learning about the different, long, medium- and short-term causes of the First World War. </w:t>
            </w:r>
          </w:p>
          <w:p w:rsidRPr="00927373" w:rsidR="0092057F" w:rsidP="00D156A1" w:rsidRDefault="0092057F" w14:paraId="04AEE7F5" w14:textId="77777777">
            <w:r>
              <w:t>As he starts to assess the writing Mr brady notices that pupils have used a variety of different structures to formulate their responses with some pupil’s work reading like a story, whilst others have organised the causes into different groups. Despite telling the pupils to plan out their responses and giving them lesson time to do this it is evident that most pupils have not done this, nor have they made use of key vocabulary from within the topic such as alliances.</w:t>
            </w:r>
          </w:p>
          <w:p w:rsidRPr="009D1956" w:rsidR="00A24AD4" w:rsidP="00A24AD4" w:rsidRDefault="00A24AD4" w14:paraId="4E80A1A3" w14:textId="77777777">
            <w:pPr>
              <w:rPr>
                <w:b/>
                <w:bCs/>
              </w:rPr>
            </w:pPr>
            <w:r w:rsidRPr="009D1956">
              <w:rPr>
                <w:b/>
                <w:bCs/>
              </w:rPr>
              <w:t>Reflect on the content of the elective self-study as you consider which approaches would be effective in helping Mr Brady to support his class to produce more detailed verbal responses</w:t>
            </w:r>
            <w:r>
              <w:rPr>
                <w:b/>
                <w:bCs/>
              </w:rPr>
              <w:t xml:space="preserve"> which include key vocabulary. </w:t>
            </w:r>
            <w:r w:rsidRPr="009D1956">
              <w:rPr>
                <w:b/>
                <w:bCs/>
              </w:rPr>
              <w:t xml:space="preserve"> </w:t>
            </w:r>
          </w:p>
          <w:p w:rsidRPr="009D1956" w:rsidR="00A24AD4" w:rsidP="00A24AD4" w:rsidRDefault="00A24AD4" w14:paraId="37C5D750" w14:textId="77777777">
            <w:pPr>
              <w:rPr>
                <w:b/>
                <w:bCs/>
              </w:rPr>
            </w:pPr>
            <w:r w:rsidRPr="009D1956">
              <w:rPr>
                <w:b/>
                <w:bCs/>
              </w:rPr>
              <w:t>Here are some options that can support your reflection:</w:t>
            </w:r>
          </w:p>
          <w:p w:rsidRPr="00EC4759" w:rsidR="00A24AD4" w:rsidP="00A24AD4" w:rsidRDefault="00A24AD4" w14:paraId="3BE1DD86" w14:textId="77777777">
            <w:pPr>
              <w:pStyle w:val="ListParagraph"/>
              <w:numPr>
                <w:ilvl w:val="0"/>
                <w:numId w:val="34"/>
              </w:numPr>
              <w:rPr>
                <w:lang w:eastAsia="en-GB"/>
              </w:rPr>
            </w:pPr>
            <w:r>
              <w:rPr>
                <w:lang w:eastAsia="en-GB"/>
              </w:rPr>
              <w:t>Give the pupils opportunities to interact with the key terminology before asking them for key questions</w:t>
            </w:r>
            <w:r w:rsidRPr="00EC4759">
              <w:rPr>
                <w:lang w:eastAsia="en-GB"/>
              </w:rPr>
              <w:t xml:space="preserve">. </w:t>
            </w:r>
            <w:r>
              <w:rPr>
                <w:lang w:eastAsia="en-GB"/>
              </w:rPr>
              <w:t xml:space="preserve">This might involve some retrieval of the key vocabulary or through reading some texts where the key terms are used. </w:t>
            </w:r>
          </w:p>
          <w:p w:rsidRPr="00A24AD4" w:rsidR="00A24AD4" w:rsidP="00A24AD4" w:rsidRDefault="00A24AD4" w14:paraId="37FDD4DA" w14:textId="77777777">
            <w:pPr>
              <w:pStyle w:val="ListParagraph"/>
              <w:numPr>
                <w:ilvl w:val="0"/>
                <w:numId w:val="34"/>
              </w:numPr>
              <w:rPr>
                <w:b/>
                <w:bCs/>
              </w:rPr>
            </w:pPr>
            <w:r w:rsidRPr="000066D6">
              <w:rPr>
                <w:lang w:eastAsia="en-GB"/>
              </w:rPr>
              <w:t xml:space="preserve">Provide the class with </w:t>
            </w:r>
            <w:r>
              <w:rPr>
                <w:lang w:eastAsia="en-GB"/>
              </w:rPr>
              <w:t xml:space="preserve">the list of </w:t>
            </w:r>
            <w:r w:rsidRPr="000066D6">
              <w:rPr>
                <w:lang w:eastAsia="en-GB"/>
              </w:rPr>
              <w:t xml:space="preserve">key vocabulary that they must include in their responses and ensure that this terminology will support them to extend their answers. </w:t>
            </w:r>
          </w:p>
          <w:p w:rsidRPr="007A28EC" w:rsidR="0092057F" w:rsidP="00A24AD4" w:rsidRDefault="00A24AD4" w14:paraId="45054C1D" w14:textId="0E3F932D">
            <w:pPr>
              <w:pStyle w:val="ListParagraph"/>
              <w:numPr>
                <w:ilvl w:val="0"/>
                <w:numId w:val="34"/>
              </w:numPr>
              <w:rPr>
                <w:rStyle w:val="normaltextrun"/>
                <w:b/>
                <w:bCs/>
              </w:rPr>
            </w:pPr>
            <w:r w:rsidRPr="00F44BC0">
              <w:rPr>
                <w:rStyle w:val="normaltextrun"/>
                <w:rFonts w:eastAsia="Times New Roman"/>
                <w:szCs w:val="24"/>
                <w:lang w:eastAsia="en-GB"/>
              </w:rPr>
              <w:t>Model the type of expected verbal responses to the pupils before going on pose the questions and statements to them.</w:t>
            </w:r>
          </w:p>
        </w:tc>
      </w:tr>
    </w:tbl>
    <w:p w:rsidR="0092057F" w:rsidP="00584879" w:rsidRDefault="0092057F" w14:paraId="5F7FCCF7" w14:textId="77777777"/>
    <w:p w:rsidRPr="00E03696" w:rsidR="00BC2ED5" w:rsidP="00BC2ED5" w:rsidRDefault="00BC2ED5" w14:paraId="3E48108A" w14:textId="77777777">
      <w:pPr>
        <w:jc w:val="both"/>
        <w:rPr>
          <w:b/>
          <w:bCs/>
          <w:color w:val="0070C0"/>
        </w:rPr>
      </w:pPr>
      <w:hyperlink w:history="1" w:anchor="Content">
        <w:r w:rsidRPr="00E03696">
          <w:rPr>
            <w:rStyle w:val="Hyperlink"/>
            <w:b/>
            <w:bCs/>
            <w:color w:val="0070C0"/>
          </w:rPr>
          <w:t>Click here to return to Content page</w:t>
        </w:r>
      </w:hyperlink>
    </w:p>
    <w:p w:rsidR="00CD7179" w:rsidP="00F56B6E" w:rsidRDefault="00CD7179" w14:paraId="12C2CF3D" w14:textId="77777777"/>
    <w:p w:rsidR="00100B97" w:rsidP="00F56B6E" w:rsidRDefault="00100B97" w14:paraId="36E9E355" w14:textId="77777777">
      <w:pPr>
        <w:rPr>
          <w:rStyle w:val="normaltextrun"/>
          <w:b/>
          <w:bCs/>
          <w:color w:val="7030A0"/>
        </w:rPr>
      </w:pPr>
      <w:bookmarkStart w:name="SENDscenario" w:id="9"/>
    </w:p>
    <w:p w:rsidR="0034156D" w:rsidRDefault="0034156D" w14:paraId="03FCB7B5" w14:textId="77777777">
      <w:pPr>
        <w:jc w:val="both"/>
        <w:rPr>
          <w:rStyle w:val="normaltextrun"/>
          <w:b/>
          <w:bCs/>
          <w:color w:val="7030A0"/>
        </w:rPr>
      </w:pPr>
      <w:r>
        <w:rPr>
          <w:rStyle w:val="normaltextrun"/>
          <w:b/>
          <w:bCs/>
          <w:color w:val="7030A0"/>
        </w:rPr>
        <w:br w:type="page"/>
      </w:r>
    </w:p>
    <w:p w:rsidR="00F56B6E" w:rsidP="00F56B6E" w:rsidRDefault="00F56B6E" w14:paraId="198F6679" w14:textId="72716A02">
      <w:pPr>
        <w:rPr>
          <w:rStyle w:val="normaltextrun"/>
          <w:b/>
          <w:bCs/>
          <w:color w:val="7030A0"/>
        </w:rPr>
      </w:pPr>
      <w:r>
        <w:rPr>
          <w:rStyle w:val="normaltextrun"/>
          <w:b/>
          <w:bCs/>
          <w:color w:val="7030A0"/>
        </w:rPr>
        <w:lastRenderedPageBreak/>
        <w:t>SEND s</w:t>
      </w:r>
      <w:r w:rsidR="008B73FD">
        <w:rPr>
          <w:rStyle w:val="normaltextrun"/>
          <w:b/>
          <w:bCs/>
          <w:color w:val="7030A0"/>
        </w:rPr>
        <w:t>etting</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8B13B2" w:rsidTr="00886B73" w14:paraId="7A2942E0" w14:textId="77777777">
        <w:tc>
          <w:tcPr>
            <w:tcW w:w="8996" w:type="dxa"/>
          </w:tcPr>
          <w:p w:rsidRPr="00432A36" w:rsidR="008B13B2" w:rsidP="00886B73" w:rsidRDefault="008B13B2" w14:paraId="520B5CF0" w14:textId="77777777">
            <w:r w:rsidRPr="00432A36">
              <w:t xml:space="preserve">Mr Brady teaches </w:t>
            </w:r>
            <w:r>
              <w:t xml:space="preserve">8 pupils in </w:t>
            </w:r>
            <w:r w:rsidRPr="00432A36">
              <w:t xml:space="preserve">a mixed </w:t>
            </w:r>
            <w:r>
              <w:t>y</w:t>
            </w:r>
            <w:r w:rsidRPr="00432A36">
              <w:t>ear 7 and 8 class</w:t>
            </w:r>
            <w:r>
              <w:t xml:space="preserve"> in a SEND school. The pupils in the class are working well below this level. </w:t>
            </w:r>
            <w:r w:rsidRPr="00432A36">
              <w:t xml:space="preserve"> To engage them in reading, he has been exploring </w:t>
            </w:r>
            <w:r>
              <w:t>‘</w:t>
            </w:r>
            <w:r w:rsidRPr="004A3273">
              <w:t>The Twits</w:t>
            </w:r>
            <w:r>
              <w:t>’</w:t>
            </w:r>
            <w:r w:rsidRPr="00432A36">
              <w:t xml:space="preserve"> by Roald Dahl, a book with simple yet engaging language, humo</w:t>
            </w:r>
            <w:r>
              <w:t>u</w:t>
            </w:r>
            <w:r w:rsidRPr="00432A36">
              <w:t>r, and vivid descriptions that</w:t>
            </w:r>
            <w:r>
              <w:t xml:space="preserve"> can help to</w:t>
            </w:r>
            <w:r w:rsidRPr="00432A36">
              <w:t xml:space="preserve"> support their comprehension needs.</w:t>
            </w:r>
          </w:p>
          <w:p w:rsidRPr="00432A36" w:rsidR="008B13B2" w:rsidP="00886B73" w:rsidRDefault="008B13B2" w14:paraId="18F94FE9" w14:textId="77777777">
            <w:r w:rsidRPr="00432A36">
              <w:t xml:space="preserve">Over the half term, Mr Brady has carefully structured reading sessions, incorporating a mix of </w:t>
            </w:r>
            <w:r>
              <w:t>approaches.</w:t>
            </w:r>
            <w:r w:rsidRPr="00432A36">
              <w:t xml:space="preserve"> He reads aloud to the class, using exaggerated voices and expressive storytelling to bring the characters to life. Pupils have also had opportunities to follow along with visual aids, join in with repetitive phrases, and engage in short, supported reading sessions in pairs or small groups</w:t>
            </w:r>
            <w:r>
              <w:t>, using his two teaching assistants to support with this</w:t>
            </w:r>
            <w:r w:rsidRPr="00432A36">
              <w:t>. To reinforce understanding, he has used role-play, puppetry, and simple sequencing activities.</w:t>
            </w:r>
          </w:p>
          <w:p w:rsidRPr="00432A36" w:rsidR="008B13B2" w:rsidP="00886B73" w:rsidRDefault="008B13B2" w14:paraId="2F7B66A0" w14:textId="77777777">
            <w:r w:rsidRPr="00432A36">
              <w:t xml:space="preserve">After completing the first two chapters, Mr. Brady sets a </w:t>
            </w:r>
            <w:r>
              <w:t xml:space="preserve">series of </w:t>
            </w:r>
            <w:r w:rsidRPr="00432A36">
              <w:t>comprehension task</w:t>
            </w:r>
            <w:r>
              <w:t>s</w:t>
            </w:r>
            <w:r w:rsidRPr="00432A36">
              <w:t xml:space="preserve"> to assess their understanding</w:t>
            </w:r>
            <w:r>
              <w:t xml:space="preserve">, asking the pupils a mix of questions such as the keys details of Mr Twit, ordering picture cards to retell the events and matching words to character emotions. </w:t>
            </w:r>
          </w:p>
          <w:p w:rsidR="008B13B2" w:rsidP="00886B73" w:rsidRDefault="008B13B2" w14:paraId="2C1CDED2" w14:textId="77777777">
            <w:r w:rsidRPr="00432A36">
              <w:t xml:space="preserve">However, when reviewing the pupils’ responses, he notices some key challenges. Many struggle to recall important story details independently, and some are unsure about the differences between the two main characters. </w:t>
            </w:r>
          </w:p>
          <w:p w:rsidRPr="00AE056F" w:rsidR="008B13B2" w:rsidP="00886B73" w:rsidRDefault="008B13B2" w14:paraId="6A9CD7D5" w14:textId="77777777">
            <w:pPr>
              <w:rPr>
                <w:b/>
                <w:bCs/>
              </w:rPr>
            </w:pPr>
            <w:r w:rsidRPr="00AE056F">
              <w:rPr>
                <w:b/>
                <w:bCs/>
              </w:rPr>
              <w:t xml:space="preserve">Reflect on the content of the elective self-study as you consider which approaches would be effective in helping Mr Brady to </w:t>
            </w:r>
            <w:r>
              <w:rPr>
                <w:b/>
                <w:bCs/>
              </w:rPr>
              <w:t xml:space="preserve">improve the comprehension skills of his class. </w:t>
            </w:r>
          </w:p>
          <w:p w:rsidR="008B13B2" w:rsidP="00886B73" w:rsidRDefault="008B13B2" w14:paraId="1E10F367" w14:textId="77777777">
            <w:pPr>
              <w:rPr>
                <w:b/>
                <w:bCs/>
              </w:rPr>
            </w:pPr>
            <w:r w:rsidRPr="00AE056F">
              <w:rPr>
                <w:b/>
                <w:bCs/>
              </w:rPr>
              <w:t>Here are some options that can support your reflection:</w:t>
            </w:r>
          </w:p>
          <w:p w:rsidRPr="007D47EE" w:rsidR="008B13B2" w:rsidP="008B13B2" w:rsidRDefault="008B13B2" w14:paraId="0B5674E9" w14:textId="77777777">
            <w:pPr>
              <w:pStyle w:val="ListParagraph"/>
              <w:numPr>
                <w:ilvl w:val="0"/>
                <w:numId w:val="35"/>
              </w:numPr>
            </w:pPr>
            <w:r w:rsidRPr="007D47EE">
              <w:t>Make greater use of guided practice, working through some questions with the pupils before giving them the chance to answer some independently.</w:t>
            </w:r>
          </w:p>
          <w:p w:rsidR="008B13B2" w:rsidP="008B13B2" w:rsidRDefault="008B13B2" w14:paraId="0ECFD4DB" w14:textId="77777777">
            <w:pPr>
              <w:pStyle w:val="ListParagraph"/>
              <w:numPr>
                <w:ilvl w:val="0"/>
                <w:numId w:val="35"/>
              </w:numPr>
            </w:pPr>
            <w:r w:rsidRPr="007D47EE">
              <w:t>Use a think aloud to model the process of responding to a comprehension question, making the implicit explicit.</w:t>
            </w:r>
          </w:p>
          <w:p w:rsidRPr="007D47EE" w:rsidR="008B13B2" w:rsidP="008B13B2" w:rsidRDefault="008B13B2" w14:paraId="5625909A" w14:textId="77777777">
            <w:pPr>
              <w:pStyle w:val="ListParagraph"/>
              <w:numPr>
                <w:ilvl w:val="0"/>
                <w:numId w:val="35"/>
              </w:numPr>
              <w:rPr>
                <w:rStyle w:val="normaltextrun"/>
              </w:rPr>
            </w:pPr>
            <w:r w:rsidRPr="007D47EE">
              <w:rPr>
                <w:rStyle w:val="normaltextrun"/>
              </w:rPr>
              <w:t>Activate the pupil’s prior knowledge through some simple retrieval questions before setting the comprehension questions.</w:t>
            </w:r>
            <w:r w:rsidRPr="007D47EE">
              <w:rPr>
                <w:rStyle w:val="normaltextrun"/>
                <w:b/>
                <w:bCs/>
              </w:rPr>
              <w:t xml:space="preserve"> </w:t>
            </w:r>
          </w:p>
        </w:tc>
      </w:tr>
    </w:tbl>
    <w:p w:rsidR="00BC2ED5" w:rsidP="008B13B2" w:rsidRDefault="00BC2ED5" w14:paraId="0B8E8391" w14:textId="77777777">
      <w:pPr>
        <w:rPr>
          <w:rStyle w:val="normaltextrun"/>
          <w:b/>
          <w:bCs/>
          <w:color w:val="7030A0"/>
        </w:rPr>
      </w:pPr>
    </w:p>
    <w:p w:rsidRPr="00E03696" w:rsidR="00BC2ED5" w:rsidP="00BC2ED5" w:rsidRDefault="00BC2ED5" w14:paraId="755A182E" w14:textId="77777777">
      <w:pPr>
        <w:jc w:val="both"/>
        <w:rPr>
          <w:b/>
          <w:bCs/>
          <w:color w:val="0070C0"/>
        </w:rPr>
      </w:pPr>
      <w:hyperlink w:history="1" w:anchor="Content">
        <w:r w:rsidRPr="00E03696">
          <w:rPr>
            <w:rStyle w:val="Hyperlink"/>
            <w:b/>
            <w:bCs/>
            <w:color w:val="0070C0"/>
          </w:rPr>
          <w:t>Click here to return to Content page</w:t>
        </w:r>
      </w:hyperlink>
    </w:p>
    <w:p w:rsidRPr="00A8170C" w:rsidR="008B13B2" w:rsidP="008B13B2" w:rsidRDefault="008B13B2" w14:paraId="1BF790E6" w14:textId="7B83D4FA">
      <w:r>
        <w:rPr>
          <w:rStyle w:val="normaltextrun"/>
          <w:b/>
          <w:bCs/>
          <w:color w:val="7030A0"/>
        </w:rPr>
        <w:br w:type="page"/>
      </w:r>
    </w:p>
    <w:p w:rsidR="00BB1EAA" w:rsidP="00BB1EAA" w:rsidRDefault="00BB1EAA" w14:paraId="222F4A6C" w14:textId="77777777">
      <w:pPr>
        <w:rPr>
          <w:rStyle w:val="normaltextrun"/>
          <w:b/>
          <w:bCs/>
          <w:color w:val="7030A0"/>
        </w:rPr>
      </w:pPr>
      <w:bookmarkStart w:name="apscenario" w:id="10"/>
      <w:bookmarkEnd w:id="9"/>
      <w:r>
        <w:rPr>
          <w:rStyle w:val="normaltextrun"/>
          <w:b/>
          <w:bCs/>
          <w:color w:val="7030A0"/>
        </w:rPr>
        <w:lastRenderedPageBreak/>
        <w:t>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4C6A73" w:rsidTr="004C6A73" w14:paraId="20A55CAB" w14:textId="77777777">
        <w:trPr>
          <w:trHeight w:val="8639"/>
        </w:trPr>
        <w:tc>
          <w:tcPr>
            <w:tcW w:w="8996" w:type="dxa"/>
          </w:tcPr>
          <w:bookmarkEnd w:id="10"/>
          <w:p w:rsidR="004C6A73" w:rsidP="00886B73" w:rsidRDefault="004C6A73" w14:paraId="12261F01" w14:textId="77777777">
            <w:r w:rsidRPr="001707A0">
              <w:t xml:space="preserve">Mr Brady, a teacher in a primary alternative provision, works with a mixed-age group of six pupils, ranging from </w:t>
            </w:r>
            <w:r>
              <w:t>y</w:t>
            </w:r>
            <w:r w:rsidRPr="001707A0">
              <w:t xml:space="preserve">ear 3 to </w:t>
            </w:r>
            <w:r>
              <w:t>y</w:t>
            </w:r>
            <w:r w:rsidRPr="001707A0">
              <w:t xml:space="preserve">ear 5. Each pupil in his class has faced significant challenges, including disrupted education and some have additional learning needs. The pupils are all at different stages of learning to write effectively and Mr Brady wants to ensure that he caters to the varying needs of the class when he approaches any writing tasks. </w:t>
            </w:r>
          </w:p>
          <w:p w:rsidRPr="006C5A6F" w:rsidR="004C6A73" w:rsidP="00886B73" w:rsidRDefault="004C6A73" w14:paraId="5B803783" w14:textId="77777777">
            <w:r>
              <w:t xml:space="preserve">He has noticed that one of the biggest challenges is motivating the pupils to write as often they lack confidence with some staring blankly at their paper and others fidgeting or becoming disruptive to avoid the task. Mr Brady has tried giving the pupils the chance to choose the topics they write about and has also provided some writing frames and prompts to get them started. However, there is still a lot of reluctance in the class. </w:t>
            </w:r>
          </w:p>
          <w:p w:rsidRPr="006C5A6F" w:rsidR="004C6A73" w:rsidP="00886B73" w:rsidRDefault="004C6A73" w14:paraId="60DE87BC" w14:textId="77777777">
            <w:pPr>
              <w:rPr>
                <w:b/>
                <w:bCs/>
              </w:rPr>
            </w:pPr>
            <w:r w:rsidRPr="006C5A6F">
              <w:rPr>
                <w:b/>
                <w:bCs/>
              </w:rPr>
              <w:t xml:space="preserve">Reflect on the content of the elective self-study as you consider which approaches would be effective in helping Mr Brady to support his class to complete their writing tasks. </w:t>
            </w:r>
          </w:p>
          <w:p w:rsidRPr="006C5A6F" w:rsidR="004C6A73" w:rsidP="00886B73" w:rsidRDefault="004C6A73" w14:paraId="540A2DC2" w14:textId="77777777">
            <w:pPr>
              <w:rPr>
                <w:b/>
                <w:bCs/>
              </w:rPr>
            </w:pPr>
            <w:r w:rsidRPr="006C5A6F">
              <w:rPr>
                <w:b/>
                <w:bCs/>
              </w:rPr>
              <w:t>Here are some options that can support your reflection:</w:t>
            </w:r>
          </w:p>
          <w:p w:rsidRPr="00C71F51" w:rsidR="004C6A73" w:rsidP="004C6A73" w:rsidRDefault="004C6A73" w14:paraId="258A4BFC" w14:textId="77777777">
            <w:pPr>
              <w:numPr>
                <w:ilvl w:val="0"/>
                <w:numId w:val="36"/>
              </w:numPr>
              <w:spacing w:before="100" w:beforeAutospacing="1" w:after="100" w:afterAutospacing="1" w:line="240" w:lineRule="auto"/>
              <w:rPr>
                <w:rFonts w:eastAsia="Times New Roman"/>
                <w:szCs w:val="24"/>
                <w:lang w:eastAsia="en-GB"/>
              </w:rPr>
            </w:pPr>
            <w:r>
              <w:rPr>
                <w:rFonts w:eastAsia="Times New Roman"/>
                <w:szCs w:val="24"/>
                <w:lang w:eastAsia="en-GB"/>
              </w:rPr>
              <w:t>Focus on word and sentence level development before moving on to extended pieces of writing.</w:t>
            </w:r>
          </w:p>
          <w:p w:rsidR="004C6A73" w:rsidP="004C6A73" w:rsidRDefault="004C6A73" w14:paraId="4591DA96" w14:textId="77777777">
            <w:pPr>
              <w:numPr>
                <w:ilvl w:val="0"/>
                <w:numId w:val="36"/>
              </w:numPr>
              <w:spacing w:before="100" w:beforeAutospacing="1" w:after="100" w:afterAutospacing="1" w:line="240" w:lineRule="auto"/>
              <w:rPr>
                <w:rFonts w:eastAsia="Times New Roman"/>
                <w:szCs w:val="24"/>
                <w:lang w:eastAsia="en-GB"/>
              </w:rPr>
            </w:pPr>
            <w:r w:rsidRPr="00C71F51">
              <w:rPr>
                <w:rFonts w:eastAsia="Times New Roman"/>
                <w:szCs w:val="24"/>
                <w:lang w:eastAsia="en-GB"/>
              </w:rPr>
              <w:t>Use</w:t>
            </w:r>
            <w:r>
              <w:rPr>
                <w:rFonts w:eastAsia="Times New Roman"/>
                <w:szCs w:val="24"/>
                <w:lang w:eastAsia="en-GB"/>
              </w:rPr>
              <w:t xml:space="preserve"> </w:t>
            </w:r>
            <w:r w:rsidRPr="00C71F51">
              <w:rPr>
                <w:rFonts w:eastAsia="Times New Roman"/>
                <w:szCs w:val="24"/>
                <w:lang w:eastAsia="en-GB"/>
              </w:rPr>
              <w:t>guided practice to support the pupils through the writing process</w:t>
            </w:r>
            <w:r>
              <w:rPr>
                <w:rFonts w:eastAsia="Times New Roman"/>
                <w:szCs w:val="24"/>
                <w:lang w:eastAsia="en-GB"/>
              </w:rPr>
              <w:t>, c</w:t>
            </w:r>
            <w:r w:rsidRPr="003F596A">
              <w:rPr>
                <w:rFonts w:eastAsia="Times New Roman"/>
                <w:szCs w:val="24"/>
                <w:lang w:eastAsia="en-GB"/>
              </w:rPr>
              <w:t>omplet</w:t>
            </w:r>
            <w:r>
              <w:rPr>
                <w:rFonts w:eastAsia="Times New Roman"/>
                <w:szCs w:val="24"/>
                <w:lang w:eastAsia="en-GB"/>
              </w:rPr>
              <w:t>ing</w:t>
            </w:r>
            <w:r w:rsidRPr="003F596A">
              <w:rPr>
                <w:rFonts w:eastAsia="Times New Roman"/>
                <w:szCs w:val="24"/>
                <w:lang w:eastAsia="en-GB"/>
              </w:rPr>
              <w:t xml:space="preserve"> a class write, made up of a collaboration of the ideas, vocabulary and sentences of all members of the class. This can provide a starting point for later independent writing. </w:t>
            </w:r>
          </w:p>
          <w:p w:rsidRPr="003F596A" w:rsidR="004C6A73" w:rsidP="004C6A73" w:rsidRDefault="004C6A73" w14:paraId="077B96BF" w14:textId="77777777">
            <w:pPr>
              <w:numPr>
                <w:ilvl w:val="0"/>
                <w:numId w:val="36"/>
              </w:numPr>
              <w:spacing w:before="100" w:beforeAutospacing="1" w:after="100" w:afterAutospacing="1" w:line="240" w:lineRule="auto"/>
              <w:rPr>
                <w:rStyle w:val="normaltextrun"/>
                <w:rFonts w:eastAsia="Times New Roman"/>
                <w:szCs w:val="24"/>
                <w:lang w:eastAsia="en-GB"/>
              </w:rPr>
            </w:pPr>
            <w:r>
              <w:rPr>
                <w:rStyle w:val="normaltextrun"/>
                <w:rFonts w:eastAsia="Times New Roman"/>
                <w:szCs w:val="24"/>
                <w:lang w:eastAsia="en-GB"/>
              </w:rPr>
              <w:t>P</w:t>
            </w:r>
            <w:r>
              <w:rPr>
                <w:rStyle w:val="normaltextrun"/>
              </w:rPr>
              <w:t>rovide pupils with some visual aids to use as prompts for their writing.</w:t>
            </w:r>
          </w:p>
          <w:p w:rsidRPr="001D2695" w:rsidR="004C6A73" w:rsidP="00886B73" w:rsidRDefault="004C6A73" w14:paraId="2B52C03B" w14:textId="77777777">
            <w:pPr>
              <w:spacing w:before="100" w:beforeAutospacing="1" w:after="100" w:afterAutospacing="1" w:line="240" w:lineRule="auto"/>
              <w:rPr>
                <w:rStyle w:val="normaltextrun"/>
                <w:rFonts w:eastAsia="Times New Roman"/>
                <w:szCs w:val="24"/>
                <w:lang w:eastAsia="en-GB"/>
              </w:rPr>
            </w:pPr>
          </w:p>
        </w:tc>
      </w:tr>
    </w:tbl>
    <w:p w:rsidR="004C6A73" w:rsidP="004C6A73" w:rsidRDefault="004C6A73" w14:paraId="02E0DFAC" w14:textId="77777777">
      <w:pPr>
        <w:rPr>
          <w:rStyle w:val="normaltextrun"/>
          <w:b/>
          <w:bCs/>
          <w:color w:val="7030A0"/>
        </w:rPr>
      </w:pPr>
    </w:p>
    <w:p w:rsidRPr="00892294" w:rsidR="00584879" w:rsidP="00584879" w:rsidRDefault="00485D2B" w14:paraId="42AEC3D1" w14:textId="09BB1F94">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r w:rsidRPr="00892294" w:rsidR="00584879">
        <w:t xml:space="preserve">  </w:t>
      </w:r>
    </w:p>
    <w:p w:rsidR="00D5464A" w:rsidP="00D5464A" w:rsidRDefault="00D5464A" w14:paraId="4C71A952" w14:textId="77777777">
      <w:pPr>
        <w:pStyle w:val="Subheading"/>
        <w:rPr>
          <w:lang w:val="en-US"/>
        </w:rPr>
      </w:pPr>
      <w:r>
        <w:rPr>
          <w:lang w:val="en-US"/>
        </w:rPr>
        <w:t>Suggested action steps</w:t>
      </w:r>
    </w:p>
    <w:p w:rsidR="002B1FAE" w:rsidP="00D5464A" w:rsidRDefault="00D5464A" w14:paraId="4BC448E6" w14:textId="38546F56">
      <w:pPr>
        <w:tabs>
          <w:tab w:val="left" w:pos="1240"/>
        </w:tabs>
      </w:pPr>
      <w:r>
        <w:t xml:space="preserve">Early career teachers were prompted to identify an upcoming lesson and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 in the classroom. </w:t>
      </w:r>
    </w:p>
    <w:p w:rsidR="00586728" w:rsidP="00584879" w:rsidRDefault="00006B6F" w14:paraId="1FBA62EC" w14:textId="7EE9007A">
      <w:r>
        <w:t xml:space="preserve">See the following </w:t>
      </w:r>
      <w:r w:rsidRPr="00446921" w:rsidR="00584879">
        <w:t>examples and accompanying guidance for developing specific areas of practice</w:t>
      </w:r>
      <w:r w:rsidR="00584879">
        <w:t xml:space="preserve">. </w:t>
      </w:r>
      <w:r w:rsidR="001E6EA4">
        <w:t xml:space="preserve">The specific actions were also shared with ECTs. </w:t>
      </w:r>
    </w:p>
    <w:p w:rsidR="00584879" w:rsidP="00584879" w:rsidRDefault="00584879" w14:paraId="6329E531" w14:textId="31E11CDE">
      <w:r>
        <w:lastRenderedPageBreak/>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F230D3" w:rsidTr="00BC66EC" w14:paraId="115EC80F" w14:textId="77777777">
        <w:trPr>
          <w:trHeight w:val="850"/>
        </w:trPr>
        <w:tc>
          <w:tcPr>
            <w:tcW w:w="8996" w:type="dxa"/>
          </w:tcPr>
          <w:p w:rsidRPr="003303C8" w:rsidR="008B4C61" w:rsidP="003303C8" w:rsidRDefault="008B4C61" w14:paraId="1D951C50" w14:textId="5A5939C1">
            <w:pPr>
              <w:tabs>
                <w:tab w:val="left" w:pos="1240"/>
              </w:tabs>
              <w:rPr>
                <w:b/>
                <w:bCs/>
              </w:rPr>
            </w:pPr>
            <w:r w:rsidRPr="003303C8">
              <w:rPr>
                <w:b/>
                <w:bCs/>
              </w:rPr>
              <w:t xml:space="preserve">Plan </w:t>
            </w:r>
            <w:r w:rsidR="008C2486">
              <w:rPr>
                <w:b/>
                <w:bCs/>
              </w:rPr>
              <w:t>to</w:t>
            </w:r>
            <w:r w:rsidRPr="003303C8">
              <w:rPr>
                <w:b/>
                <w:bCs/>
              </w:rPr>
              <w:t xml:space="preserve"> </w:t>
            </w:r>
            <w:r w:rsidR="002D0AAD">
              <w:rPr>
                <w:b/>
                <w:bCs/>
              </w:rPr>
              <w:t xml:space="preserve">explicitly </w:t>
            </w:r>
            <w:r w:rsidRPr="003303C8">
              <w:rPr>
                <w:b/>
                <w:bCs/>
              </w:rPr>
              <w:t>pre-teach new tier 2 or tier 3 vocabulary using a graphic organiser.</w:t>
            </w:r>
          </w:p>
          <w:p w:rsidR="00F230D3" w:rsidP="00BC66EC" w:rsidRDefault="00F230D3" w14:paraId="5E14AAFB" w14:textId="77777777">
            <w:pPr>
              <w:tabs>
                <w:tab w:val="left" w:pos="1240"/>
              </w:tabs>
            </w:pPr>
            <w:r>
              <w:t>The a</w:t>
            </w:r>
            <w:r w:rsidRPr="0089629C">
              <w:t>ctive ingredients</w:t>
            </w:r>
            <w:r>
              <w:t xml:space="preserve"> that will help increase the effectiveness include: </w:t>
            </w:r>
          </w:p>
          <w:p w:rsidRPr="00CC6D06" w:rsidR="00084064" w:rsidP="00084064" w:rsidRDefault="00084064" w14:paraId="28411076" w14:textId="77777777">
            <w:pPr>
              <w:pStyle w:val="ListParagraph"/>
              <w:numPr>
                <w:ilvl w:val="0"/>
                <w:numId w:val="23"/>
              </w:numPr>
            </w:pPr>
            <w:r w:rsidRPr="00CC6D06">
              <w:t xml:space="preserve">Select the appropriate Tier 2 or Tier 3 words that are needed for the pupils to be able to access the text or that they need to learn to understand specific concepts or use in their written work. </w:t>
            </w:r>
          </w:p>
          <w:p w:rsidRPr="00CC6D06" w:rsidR="00084064" w:rsidP="00084064" w:rsidRDefault="00084064" w14:paraId="6321430D" w14:textId="77777777">
            <w:pPr>
              <w:pStyle w:val="ListParagraph"/>
              <w:numPr>
                <w:ilvl w:val="0"/>
                <w:numId w:val="23"/>
              </w:numPr>
            </w:pPr>
            <w:r w:rsidRPr="00CC6D06">
              <w:t xml:space="preserve">Say the word carefully and model what effective use of the word looks like through talk, including pronunciation and use within a subject specific sentence. Ensure the pupils are given opportunities to repeat this. </w:t>
            </w:r>
          </w:p>
          <w:p w:rsidRPr="00100324" w:rsidR="00084064" w:rsidP="00084064" w:rsidRDefault="00084064" w14:paraId="0E162ECE" w14:textId="77777777">
            <w:pPr>
              <w:pStyle w:val="ListParagraph"/>
              <w:numPr>
                <w:ilvl w:val="0"/>
                <w:numId w:val="23"/>
              </w:numPr>
            </w:pPr>
            <w:r w:rsidRPr="00CC6D06">
              <w:t xml:space="preserve">Use a visual support such as a graphic organiser to model the word, explore </w:t>
            </w:r>
            <w:r>
              <w:t>the</w:t>
            </w:r>
            <w:r w:rsidRPr="00CC6D06">
              <w:t xml:space="preserve"> definition and pupil friendly description as well as exploring the </w:t>
            </w:r>
            <w:r w:rsidRPr="00100324">
              <w:t xml:space="preserve">etymology and morphology </w:t>
            </w:r>
            <w:r>
              <w:t>and</w:t>
            </w:r>
            <w:r w:rsidRPr="00100324">
              <w:t xml:space="preserve"> synonyms and antonyms. </w:t>
            </w:r>
          </w:p>
          <w:p w:rsidRPr="006F3323" w:rsidR="00F230D3" w:rsidP="006F3323" w:rsidRDefault="00084064" w14:paraId="5CD5CE78" w14:textId="38AD738C">
            <w:pPr>
              <w:pStyle w:val="ListParagraph"/>
              <w:numPr>
                <w:ilvl w:val="0"/>
                <w:numId w:val="23"/>
              </w:numPr>
            </w:pPr>
            <w:r w:rsidRPr="00100324">
              <w:t xml:space="preserve">Provide immediate interaction with the new vocabulary, building opportunities for pupils to interact with the words in different contexts. </w:t>
            </w:r>
          </w:p>
        </w:tc>
      </w:tr>
      <w:tr w:rsidR="00F230D3" w:rsidTr="00BC66EC" w14:paraId="6F773E47" w14:textId="77777777">
        <w:trPr>
          <w:trHeight w:val="850"/>
        </w:trPr>
        <w:tc>
          <w:tcPr>
            <w:tcW w:w="8996" w:type="dxa"/>
          </w:tcPr>
          <w:p w:rsidRPr="00B8100C" w:rsidR="00B8100C" w:rsidP="00B8100C" w:rsidRDefault="00B8100C" w14:paraId="375889C7" w14:textId="52C1F4C0">
            <w:pPr>
              <w:tabs>
                <w:tab w:val="left" w:pos="1240"/>
              </w:tabs>
              <w:rPr>
                <w:b/>
                <w:bCs/>
              </w:rPr>
            </w:pPr>
            <w:r w:rsidRPr="00B8100C">
              <w:rPr>
                <w:b/>
                <w:bCs/>
              </w:rPr>
              <w:t xml:space="preserve">Plan to use a </w:t>
            </w:r>
            <w:r w:rsidR="00CC73F1">
              <w:rPr>
                <w:b/>
                <w:bCs/>
              </w:rPr>
              <w:t xml:space="preserve">specific </w:t>
            </w:r>
            <w:r w:rsidRPr="00B8100C">
              <w:rPr>
                <w:b/>
                <w:bCs/>
              </w:rPr>
              <w:t>strategy for developing comprehension, such as activating prior knowledge, prediction or summarising.</w:t>
            </w:r>
          </w:p>
          <w:p w:rsidR="00F230D3" w:rsidP="00BC66EC" w:rsidRDefault="00F230D3" w14:paraId="7D9D1C42" w14:textId="77777777">
            <w:pPr>
              <w:tabs>
                <w:tab w:val="left" w:pos="1240"/>
              </w:tabs>
            </w:pPr>
            <w:r>
              <w:t>The a</w:t>
            </w:r>
            <w:r w:rsidRPr="0089629C">
              <w:t>ctive ingredients</w:t>
            </w:r>
            <w:r>
              <w:t xml:space="preserve"> that will help increase the effectiveness include: </w:t>
            </w:r>
          </w:p>
          <w:p w:rsidR="005E4130" w:rsidP="005E4130" w:rsidRDefault="005E4130" w14:paraId="35EDD7C0" w14:textId="77777777">
            <w:pPr>
              <w:pStyle w:val="ListParagraph"/>
              <w:numPr>
                <w:ilvl w:val="0"/>
                <w:numId w:val="25"/>
              </w:numPr>
            </w:pPr>
            <w:r>
              <w:t xml:space="preserve">Model and scaffold specific comprehension strategies </w:t>
            </w:r>
            <w:r w:rsidRPr="00CE285C">
              <w:t>includ</w:t>
            </w:r>
            <w:r>
              <w:t>ing</w:t>
            </w:r>
            <w:r w:rsidRPr="00CE285C">
              <w:t xml:space="preserve"> questioning, activating prior knowledge, summarising, clarifying, and predicting</w:t>
            </w:r>
            <w:r>
              <w:t>.</w:t>
            </w:r>
          </w:p>
          <w:p w:rsidR="005E4130" w:rsidP="005E4130" w:rsidRDefault="005E4130" w14:paraId="007AB234" w14:textId="77777777">
            <w:pPr>
              <w:pStyle w:val="ListParagraph"/>
              <w:numPr>
                <w:ilvl w:val="0"/>
                <w:numId w:val="25"/>
              </w:numPr>
            </w:pPr>
            <w:r>
              <w:t>Use guided practice to support novice readers to unpick and comprehend a text, gradually releasing responsibility as they become more independent.</w:t>
            </w:r>
          </w:p>
          <w:p w:rsidR="005E4130" w:rsidP="005E4130" w:rsidRDefault="005E4130" w14:paraId="7E131302" w14:textId="77777777">
            <w:pPr>
              <w:pStyle w:val="ListParagraph"/>
              <w:numPr>
                <w:ilvl w:val="0"/>
                <w:numId w:val="25"/>
              </w:numPr>
            </w:pPr>
            <w:r>
              <w:t>Model what good reading looks like, focusing on fluency and prosody to enhance comprehension.</w:t>
            </w:r>
          </w:p>
          <w:p w:rsidRPr="005E4130" w:rsidR="00F230D3" w:rsidP="005E4130" w:rsidRDefault="005E4130" w14:paraId="076CAEB6" w14:textId="25D89B02">
            <w:pPr>
              <w:pStyle w:val="ListParagraph"/>
              <w:numPr>
                <w:ilvl w:val="0"/>
                <w:numId w:val="25"/>
              </w:numPr>
            </w:pPr>
            <w:r>
              <w:t>Use “think aloud” to model the process of reading and develop metacognition skills.</w:t>
            </w:r>
          </w:p>
        </w:tc>
      </w:tr>
      <w:tr w:rsidR="00F230D3" w:rsidTr="00BC66EC" w14:paraId="624C7603" w14:textId="77777777">
        <w:trPr>
          <w:trHeight w:val="850"/>
        </w:trPr>
        <w:tc>
          <w:tcPr>
            <w:tcW w:w="8996" w:type="dxa"/>
          </w:tcPr>
          <w:p w:rsidRPr="00294393" w:rsidR="006625D6" w:rsidP="006625D6" w:rsidRDefault="006625D6" w14:paraId="262CF827" w14:textId="2C2700C5">
            <w:pPr>
              <w:tabs>
                <w:tab w:val="left" w:pos="1240"/>
              </w:tabs>
              <w:rPr>
                <w:b/>
                <w:bCs/>
              </w:rPr>
            </w:pPr>
            <w:r w:rsidRPr="00294393">
              <w:rPr>
                <w:b/>
                <w:bCs/>
              </w:rPr>
              <w:t xml:space="preserve">Plan to model </w:t>
            </w:r>
            <w:r w:rsidRPr="00294393" w:rsidR="00294393">
              <w:rPr>
                <w:b/>
                <w:bCs/>
              </w:rPr>
              <w:t>each of the</w:t>
            </w:r>
            <w:r w:rsidRPr="00294393">
              <w:rPr>
                <w:b/>
                <w:bCs/>
              </w:rPr>
              <w:t xml:space="preserve"> processes of effective writing, guiding pupils with a series of sequential steps.</w:t>
            </w:r>
            <w:r w:rsidR="00987774">
              <w:rPr>
                <w:b/>
                <w:bCs/>
              </w:rPr>
              <w:t xml:space="preserve"> Start with </w:t>
            </w:r>
            <w:r w:rsidR="001D270D">
              <w:rPr>
                <w:b/>
                <w:bCs/>
              </w:rPr>
              <w:t xml:space="preserve">the </w:t>
            </w:r>
            <w:r w:rsidR="00987774">
              <w:rPr>
                <w:b/>
                <w:bCs/>
              </w:rPr>
              <w:t>planning</w:t>
            </w:r>
            <w:r w:rsidR="001D270D">
              <w:rPr>
                <w:b/>
                <w:bCs/>
              </w:rPr>
              <w:t xml:space="preserve"> stage</w:t>
            </w:r>
            <w:r w:rsidR="00987774">
              <w:rPr>
                <w:b/>
                <w:bCs/>
              </w:rPr>
              <w:t xml:space="preserve">.  </w:t>
            </w:r>
          </w:p>
          <w:p w:rsidR="00F230D3" w:rsidP="00C86881" w:rsidRDefault="00F230D3" w14:paraId="40DD35F0" w14:textId="77777777">
            <w:pPr>
              <w:tabs>
                <w:tab w:val="left" w:pos="1240"/>
              </w:tabs>
            </w:pPr>
            <w:r>
              <w:t>The a</w:t>
            </w:r>
            <w:r w:rsidRPr="0089629C">
              <w:t>ctive ingredients</w:t>
            </w:r>
            <w:r>
              <w:t xml:space="preserve"> that will help increase the effectiveness include: </w:t>
            </w:r>
          </w:p>
          <w:p w:rsidR="00DE061A" w:rsidP="00DE061A" w:rsidRDefault="00DE061A" w14:paraId="22E64455" w14:textId="77777777">
            <w:pPr>
              <w:pStyle w:val="ListParagraph"/>
              <w:numPr>
                <w:ilvl w:val="0"/>
                <w:numId w:val="26"/>
              </w:numPr>
            </w:pPr>
            <w:r>
              <w:lastRenderedPageBreak/>
              <w:t>Explicitly model each stage of the writing process (planning, drafting, revising, editing and publishing) with opportunities for guided practice allowing pupils to take increased responsibility for this over time.</w:t>
            </w:r>
          </w:p>
          <w:p w:rsidR="00DE061A" w:rsidP="00DE061A" w:rsidRDefault="00DE061A" w14:paraId="76D83C67" w14:textId="77777777">
            <w:pPr>
              <w:pStyle w:val="ListParagraph"/>
              <w:numPr>
                <w:ilvl w:val="0"/>
                <w:numId w:val="26"/>
              </w:numPr>
            </w:pPr>
            <w:r>
              <w:t xml:space="preserve">Use visual aids, such as graphic organisers to support the development of planning, making use of different organisers depending on the nature of the writing. For example, a fishbone diagram can help with planning and cause and effect. </w:t>
            </w:r>
          </w:p>
          <w:p w:rsidR="00DE061A" w:rsidP="00DE061A" w:rsidRDefault="00DE061A" w14:paraId="60923F37" w14:textId="77777777">
            <w:pPr>
              <w:pStyle w:val="ListParagraph"/>
              <w:numPr>
                <w:ilvl w:val="0"/>
                <w:numId w:val="26"/>
              </w:numPr>
            </w:pPr>
            <w:r>
              <w:t>Provide checklists for pupils to monitor their writing.</w:t>
            </w:r>
          </w:p>
          <w:p w:rsidR="00DE061A" w:rsidP="00DE061A" w:rsidRDefault="00DE061A" w14:paraId="65900E4D" w14:textId="77777777">
            <w:pPr>
              <w:pStyle w:val="ListParagraph"/>
              <w:numPr>
                <w:ilvl w:val="0"/>
                <w:numId w:val="26"/>
              </w:numPr>
            </w:pPr>
            <w:r>
              <w:t>Focus on word, sentence and whole text level development of writing, leading to higher quality responses.</w:t>
            </w:r>
          </w:p>
          <w:p w:rsidRPr="004231DD" w:rsidR="00F230D3" w:rsidP="00BC66EC" w:rsidRDefault="00F230D3" w14:paraId="41A14121" w14:textId="77777777">
            <w:pPr>
              <w:pStyle w:val="Subheading"/>
              <w:rPr>
                <w:rFonts w:asciiTheme="minorHAnsi" w:hAnsiTheme="minorHAnsi" w:cstheme="minorBidi"/>
                <w:color w:val="auto"/>
              </w:rPr>
            </w:pPr>
          </w:p>
        </w:tc>
      </w:tr>
    </w:tbl>
    <w:p w:rsidR="006F4B0E" w:rsidP="00241BA2" w:rsidRDefault="006F4B0E" w14:paraId="3177BCA8" w14:textId="77777777">
      <w:pPr>
        <w:rPr>
          <w:b/>
          <w:bCs/>
        </w:rPr>
      </w:pPr>
    </w:p>
    <w:p w:rsidR="005677F8" w:rsidP="005677F8" w:rsidRDefault="005677F8" w14:paraId="2DCA252E" w14:textId="3297D085">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0071380A">
        <w:rPr>
          <w:b w:val="0"/>
          <w:bCs w:val="0"/>
          <w:color w:val="auto"/>
        </w:rPr>
        <w:t>enhancing literacy</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02758A" w:rsidP="0002758A" w:rsidRDefault="0002758A" w14:paraId="5777AF43" w14:textId="77777777">
      <w:pPr>
        <w:rPr>
          <w:b/>
          <w:bCs/>
        </w:rPr>
      </w:pPr>
      <w:r w:rsidRPr="295FD44E">
        <w:rPr>
          <w:b/>
          <w:bCs/>
        </w:rPr>
        <w:t>Stretch and challenge</w:t>
      </w:r>
    </w:p>
    <w:p w:rsidRPr="008279DE" w:rsidR="0002758A" w:rsidP="0002758A" w:rsidRDefault="0002758A" w14:paraId="258B8531" w14:textId="77777777">
      <w:r w:rsidRPr="008279DE">
        <w:t>If you feel that your ECT’s current practice can be stretched or challenged, you may want to select more than one precise action. This will help develop their ability to effectively implement multiple approaches during the same lesson. </w:t>
      </w:r>
    </w:p>
    <w:p w:rsidR="004053E5" w:rsidP="004053E5" w:rsidRDefault="004053E5" w14:paraId="2F95EE4A" w14:textId="77777777">
      <w:pPr>
        <w:pStyle w:val="Subheading"/>
      </w:pPr>
      <w:r>
        <w:t>Lesson observation of your early career teacher</w:t>
      </w:r>
    </w:p>
    <w:p w:rsidR="005677F8" w:rsidP="004053E5" w:rsidRDefault="004053E5" w14:paraId="1A772D48" w14:textId="25E3490D">
      <w:pPr>
        <w:pStyle w:val="paragraph"/>
        <w:spacing w:before="0" w:beforeAutospacing="0" w:after="0" w:afterAutospacing="0" w:line="276" w:lineRule="auto"/>
        <w:textAlignment w:val="baseline"/>
        <w:rPr>
          <w:rFonts w:ascii="Tahoma" w:hAnsi="Tahoma" w:cs="Tahoma"/>
        </w:rPr>
      </w:pPr>
      <w:r>
        <w:rPr>
          <w:rStyle w:val="normaltextrun"/>
          <w:rFonts w:asciiTheme="minorHAnsi" w:hAnsiTheme="minorHAnsi" w:cstheme="minorHAnsi"/>
          <w:color w:val="000000"/>
        </w:rPr>
        <w:t>Arrange to observe your early career teaching putting the action step into practice in their classroom, focusing on the effective implementation of the active ingredients</w:t>
      </w:r>
    </w:p>
    <w:p w:rsidR="004053E5" w:rsidRDefault="004053E5" w14:paraId="71DF98DA" w14:textId="77777777">
      <w:pPr>
        <w:jc w:val="both"/>
      </w:pPr>
    </w:p>
    <w:p w:rsidR="00B537EE" w:rsidP="00B537EE" w:rsidRDefault="00B537EE" w14:paraId="390EC601" w14:textId="15F6F76A">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sidR="000762B6">
        <w:rPr>
          <w:rStyle w:val="normaltextrun"/>
          <w:rFonts w:asciiTheme="minorHAnsi" w:hAnsiTheme="minorHAnsi" w:cstheme="minorHAnsi"/>
          <w:color w:val="FF0000"/>
        </w:rPr>
        <w:t>)</w:t>
      </w:r>
      <w:r w:rsidRPr="008E3308" w:rsidR="000762B6">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  </w:t>
      </w:r>
    </w:p>
    <w:p w:rsidR="00B537EE" w:rsidRDefault="00797755" w14:paraId="2D19278B" w14:textId="590501B3">
      <w:pPr>
        <w:jc w:val="both"/>
      </w:pPr>
      <w:r>
        <w:t xml:space="preserve"> </w:t>
      </w:r>
    </w:p>
    <w:p w:rsidR="00797755" w:rsidP="00797755" w:rsidRDefault="00797755" w14:paraId="47717991" w14:textId="77777777">
      <w:pPr>
        <w:pStyle w:val="Heading"/>
      </w:pPr>
    </w:p>
    <w:p w:rsidR="00797755" w:rsidP="00797755" w:rsidRDefault="00797755" w14:paraId="405CE45F" w14:textId="77777777">
      <w:pPr>
        <w:pStyle w:val="Heading"/>
      </w:pPr>
    </w:p>
    <w:p w:rsidR="00797755" w:rsidP="00797755" w:rsidRDefault="00797755" w14:paraId="3383A457" w14:textId="77777777">
      <w:pPr>
        <w:pStyle w:val="Heading"/>
      </w:pPr>
    </w:p>
    <w:p w:rsidR="00797755" w:rsidP="00797755" w:rsidRDefault="00797755" w14:paraId="49A44237" w14:textId="77777777">
      <w:pPr>
        <w:pStyle w:val="Heading"/>
      </w:pPr>
    </w:p>
    <w:p w:rsidR="00797755" w:rsidP="00797755" w:rsidRDefault="00797755" w14:paraId="687E509F" w14:textId="77777777">
      <w:pPr>
        <w:pStyle w:val="Heading"/>
      </w:pPr>
    </w:p>
    <w:p w:rsidRPr="00E03696" w:rsidR="00EC1F2D" w:rsidRDefault="00EC1F2D" w14:paraId="3663CD5C" w14:textId="74D11763">
      <w:pPr>
        <w:jc w:val="both"/>
        <w:rPr>
          <w:b/>
          <w:bCs/>
          <w:color w:val="0070C0"/>
        </w:rPr>
      </w:pPr>
    </w:p>
    <w:p w:rsidR="001A74E9" w:rsidP="001A74E9" w:rsidRDefault="001A74E9" w14:paraId="52AC8261" w14:textId="77777777">
      <w:pPr>
        <w:pStyle w:val="Heading"/>
      </w:pPr>
      <w:bookmarkStart w:name="ittecfstatements" w:id="11"/>
      <w:r>
        <w:lastRenderedPageBreak/>
        <w:t xml:space="preserve">Related ITTECF Framework statements </w:t>
      </w:r>
    </w:p>
    <w:bookmarkEnd w:id="11"/>
    <w:p w:rsidR="008566D2" w:rsidP="008566D2" w:rsidRDefault="00371887" w14:paraId="191FE8AA" w14:textId="33097255">
      <w:pPr>
        <w:pStyle w:val="Subheading"/>
      </w:pPr>
      <w:r>
        <w:t>Subject and curriculum</w:t>
      </w:r>
    </w:p>
    <w:p w:rsidRPr="005E2CF8" w:rsidR="00CF5D9C" w:rsidP="00CF5D9C" w:rsidRDefault="00CF5D9C" w14:paraId="263F2B84" w14:textId="77777777">
      <w:pPr>
        <w:rPr>
          <w:b/>
          <w:bCs/>
        </w:rPr>
      </w:pPr>
      <w:r w:rsidRPr="005E2CF8">
        <w:rPr>
          <w:b/>
          <w:bCs/>
        </w:rPr>
        <w:t>Learn that…</w:t>
      </w:r>
    </w:p>
    <w:p w:rsidR="00CF5D9C" w:rsidP="00CF5D9C" w:rsidRDefault="00CF5D9C" w14:paraId="60752751" w14:textId="77777777">
      <w:r>
        <w:t xml:space="preserve">3.10. Every teacher can improve pupils’ literacy, including by explicitly teaching reading, writing and oral language skills specific to individual disciplines.                       </w:t>
      </w:r>
    </w:p>
    <w:p w:rsidR="00CF5D9C" w:rsidP="00CF5D9C" w:rsidRDefault="00CF5D9C" w14:paraId="09722964" w14:textId="77777777">
      <w:r>
        <w:t>3.12. Pupils' oral language skills can be supported by teaching new words and how to use and understand words within sentences or longer texts. This can help to address speech and language difficulties, especially for children in their early school years.</w:t>
      </w:r>
    </w:p>
    <w:p w:rsidRPr="005E2CF8" w:rsidR="00CF5D9C" w:rsidP="00CF5D9C" w:rsidRDefault="00CF5D9C" w14:paraId="7BAAA86F" w14:textId="77777777">
      <w:pPr>
        <w:rPr>
          <w:b/>
          <w:bCs/>
        </w:rPr>
      </w:pPr>
      <w:r w:rsidRPr="005E2CF8">
        <w:rPr>
          <w:b/>
          <w:bCs/>
        </w:rPr>
        <w:t>Learn how to…</w:t>
      </w:r>
    </w:p>
    <w:p w:rsidR="00CF5D9C" w:rsidP="00CF5D9C" w:rsidRDefault="00CF5D9C" w14:paraId="5D0C929F" w14:textId="77777777">
      <w:r>
        <w:t>Develop pupils’ literacy, by:</w:t>
      </w:r>
    </w:p>
    <w:p w:rsidR="00CF5D9C" w:rsidP="00CF5D9C" w:rsidRDefault="00CF5D9C" w14:paraId="4661D7F8" w14:textId="77777777">
      <w:r>
        <w:t>3.p. Teaching unfamiliar vocabulary explicitly and planning for pupils to be repeatedly exposed to high-utility and high-frequency vocabulary in what is taught.</w:t>
      </w:r>
    </w:p>
    <w:p w:rsidR="00CF5D9C" w:rsidP="00CF5D9C" w:rsidRDefault="00CF5D9C" w14:paraId="32A728C0" w14:textId="77777777">
      <w:r>
        <w:t xml:space="preserve">3.q.  Modelling strategies that encourage active comprehension by asking questions, making predictions, and summarising when reading. </w:t>
      </w:r>
    </w:p>
    <w:p w:rsidR="00CF5D9C" w:rsidP="00CF5D9C" w:rsidRDefault="00CF5D9C" w14:paraId="51D3178E" w14:textId="77777777">
      <w:r>
        <w:t>3.r. Promoting reading for pleasure (e.g. by using a range of whole class reading approaches and regularly reading high-quality texts to children).</w:t>
      </w:r>
    </w:p>
    <w:p w:rsidR="00CF5D9C" w:rsidP="00CF5D9C" w:rsidRDefault="00CF5D9C" w14:paraId="2A3B7934" w14:textId="77777777">
      <w:r>
        <w:t>3.s. Teaching, modelling, and requiring high quality oral language, sometimes known as oracy, recognising that spoken language underpins the development of reading and writing (e.g. where appropriate, develop pupils’ responses to questions into full sentences).</w:t>
      </w:r>
    </w:p>
    <w:p w:rsidR="00CF5D9C" w:rsidP="00CF5D9C" w:rsidRDefault="00CF5D9C" w14:paraId="59E4EE28" w14:textId="46214946">
      <w:r>
        <w:t>3.t. Teaching different forms of writing by modelling planning, drafting and editing.</w:t>
      </w:r>
    </w:p>
    <w:p w:rsidR="00EB418C" w:rsidP="00241BA2" w:rsidRDefault="00EB418C" w14:paraId="2894A19D" w14:textId="77777777">
      <w:pPr>
        <w:rPr>
          <w:b/>
          <w:bCs/>
        </w:rPr>
      </w:pPr>
    </w:p>
    <w:p w:rsidRPr="00E03696" w:rsidR="00EB418C" w:rsidP="00EB418C" w:rsidRDefault="00EB418C" w14:paraId="0F5AE3EB" w14:textId="3452708C">
      <w:pPr>
        <w:jc w:val="both"/>
        <w:rPr>
          <w:rStyle w:val="Hyperlink"/>
          <w:b/>
          <w:bCs/>
          <w:color w:val="0070C0"/>
        </w:rPr>
      </w:pPr>
      <w:hyperlink w:history="1" w:anchor="Content">
        <w:r w:rsidRPr="00E03696">
          <w:rPr>
            <w:rStyle w:val="Hyperlink"/>
            <w:b/>
            <w:bCs/>
            <w:color w:val="0070C0"/>
          </w:rPr>
          <w:t>Click here to return to Content page</w:t>
        </w:r>
      </w:hyperlink>
    </w:p>
    <w:p w:rsidR="00A515F1" w:rsidP="00EB418C" w:rsidRDefault="00A515F1" w14:paraId="232DD509" w14:textId="77777777">
      <w:pPr>
        <w:jc w:val="both"/>
        <w:rPr>
          <w:rStyle w:val="Hyperlink"/>
          <w:b/>
          <w:bCs/>
        </w:rPr>
      </w:pPr>
    </w:p>
    <w:p w:rsidR="00A515F1" w:rsidRDefault="00A515F1" w14:paraId="67D86C92" w14:textId="74CA09E8">
      <w:pPr>
        <w:jc w:val="both"/>
        <w:rPr>
          <w:rStyle w:val="Hyperlink"/>
          <w:b/>
          <w:bCs/>
        </w:rPr>
      </w:pPr>
      <w:r>
        <w:rPr>
          <w:rStyle w:val="Hyperlink"/>
          <w:b/>
          <w:bCs/>
        </w:rPr>
        <w:br w:type="page"/>
      </w:r>
    </w:p>
    <w:p w:rsidR="00A515F1" w:rsidP="00A515F1" w:rsidRDefault="00A515F1" w14:paraId="05EB0691" w14:textId="540F1F76">
      <w:pPr>
        <w:pStyle w:val="Heading"/>
      </w:pPr>
      <w:bookmarkStart w:name="references" w:id="12"/>
      <w:r>
        <w:lastRenderedPageBreak/>
        <w:t xml:space="preserve">References </w:t>
      </w:r>
    </w:p>
    <w:bookmarkEnd w:id="12"/>
    <w:p w:rsidRPr="00430BD5" w:rsidR="00CE5C12" w:rsidP="00CE5C12" w:rsidRDefault="00CE5C12" w14:paraId="305BF2CF" w14:textId="77777777">
      <w:pPr>
        <w:pStyle w:val="ListParagraph"/>
        <w:numPr>
          <w:ilvl w:val="0"/>
          <w:numId w:val="17"/>
        </w:numPr>
      </w:pPr>
      <w:r w:rsidRPr="5A03C9E0">
        <w:t>Bambrick-Santoyo, P. (2016). Get better faster: A 90-day plan for coaching new teachers. John Wiley &amp; Sons.</w:t>
      </w:r>
      <w:r>
        <w:t xml:space="preserve"> </w:t>
      </w:r>
    </w:p>
    <w:p w:rsidR="008C2F29" w:rsidP="008C2F29" w:rsidRDefault="008C2F29" w14:paraId="64FAFCD1" w14:textId="77777777">
      <w:pPr>
        <w:pStyle w:val="ListParagraph"/>
      </w:pPr>
    </w:p>
    <w:p w:rsidR="00CE5C12" w:rsidP="00A515F1" w:rsidRDefault="00CE5C12" w14:paraId="3425FCB1" w14:textId="77777777">
      <w:pPr>
        <w:pStyle w:val="Heading"/>
      </w:pPr>
    </w:p>
    <w:p w:rsidR="004047FF" w:rsidP="004047FF" w:rsidRDefault="004047FF" w14:paraId="33BC1333" w14:textId="77777777">
      <w:pPr>
        <w:jc w:val="both"/>
      </w:pPr>
      <w:hyperlink w:history="1" w:anchor="Content">
        <w:r w:rsidRPr="00E03696">
          <w:rPr>
            <w:rStyle w:val="Hyperlink"/>
            <w:b/>
            <w:bCs/>
            <w:color w:val="0070C0"/>
          </w:rPr>
          <w:t>Click here to return to Content page</w:t>
        </w:r>
      </w:hyperlink>
    </w:p>
    <w:p w:rsidR="00BC2ED5" w:rsidRDefault="00BC2ED5" w14:paraId="6BEDA4CB" w14:textId="16D7EB1F">
      <w:pPr>
        <w:jc w:val="both"/>
      </w:pPr>
      <w:r>
        <w:br w:type="page"/>
      </w:r>
    </w:p>
    <w:p w:rsidR="00BC2ED5" w:rsidP="00BC2ED5" w:rsidRDefault="00BC2ED5" w14:paraId="323BCBEF" w14:textId="77777777">
      <w:pPr>
        <w:pStyle w:val="Heading"/>
      </w:pPr>
      <w:bookmarkStart w:name="Appendix" w:id="13"/>
      <w:r>
        <w:lastRenderedPageBreak/>
        <w:t xml:space="preserve">Appendix </w:t>
      </w:r>
    </w:p>
    <w:bookmarkEnd w:id="13"/>
    <w:p w:rsidR="00BC2ED5" w:rsidP="00BC2ED5" w:rsidRDefault="00BC2ED5" w14:paraId="3B0B64DE" w14:textId="77777777">
      <w:pPr>
        <w:pStyle w:val="Subheading"/>
      </w:pPr>
      <w:r>
        <w:t xml:space="preserve">Mentor and ECT meeting template </w:t>
      </w:r>
    </w:p>
    <w:p w:rsidR="00BC2ED5" w:rsidP="00BC2ED5" w:rsidRDefault="00BC2ED5" w14:paraId="3F2978B5"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BC2ED5" w:rsidP="00BC2ED5" w:rsidRDefault="00BC2ED5" w14:paraId="35088C59"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BC2ED5" w:rsidTr="00886B73" w14:paraId="4DEC6FF6" w14:textId="77777777">
        <w:tc>
          <w:tcPr>
            <w:tcW w:w="9016" w:type="dxa"/>
            <w:shd w:val="clear" w:color="auto" w:fill="E7E6E6" w:themeFill="background2"/>
          </w:tcPr>
          <w:p w:rsidR="00BC2ED5" w:rsidP="00886B73" w:rsidRDefault="00BC2ED5" w14:paraId="23FD0EF2" w14:textId="77777777">
            <w:pPr>
              <w:jc w:val="both"/>
              <w:rPr>
                <w:b/>
                <w:bCs/>
              </w:rPr>
            </w:pPr>
            <w:r>
              <w:rPr>
                <w:b/>
                <w:bCs/>
              </w:rPr>
              <w:t>Check-in</w:t>
            </w:r>
          </w:p>
          <w:p w:rsidR="00BC2ED5" w:rsidP="00886B73" w:rsidRDefault="00BC2ED5" w14:paraId="3E3320DF" w14:textId="77777777">
            <w:r>
              <w:t xml:space="preserve">Start by asking your ECT how their week has been, both in and out of school—check in on their wellbeing, workload, and energy levels. You could invite them to share any successes, challenges, or areas where they’d like support. </w:t>
            </w:r>
          </w:p>
          <w:p w:rsidRPr="006E1929" w:rsidR="00BC2ED5" w:rsidP="00886B73" w:rsidRDefault="00BC2ED5" w14:paraId="4A80E560" w14:textId="77777777">
            <w:pPr>
              <w:rPr>
                <w:b/>
                <w:bCs/>
              </w:rPr>
            </w:pPr>
          </w:p>
        </w:tc>
      </w:tr>
      <w:tr w:rsidR="00BC2ED5" w:rsidTr="00886B73" w14:paraId="646B6C79" w14:textId="77777777">
        <w:tc>
          <w:tcPr>
            <w:tcW w:w="9016" w:type="dxa"/>
            <w:shd w:val="clear" w:color="auto" w:fill="auto"/>
          </w:tcPr>
          <w:p w:rsidR="00BC2ED5" w:rsidP="00886B73" w:rsidRDefault="00BC2ED5" w14:paraId="02901347" w14:textId="77777777">
            <w:pPr>
              <w:jc w:val="both"/>
              <w:rPr>
                <w:b/>
                <w:bCs/>
              </w:rPr>
            </w:pPr>
          </w:p>
          <w:p w:rsidR="00BC2ED5" w:rsidP="00886B73" w:rsidRDefault="00BC2ED5" w14:paraId="6C403546" w14:textId="77777777">
            <w:pPr>
              <w:jc w:val="both"/>
              <w:rPr>
                <w:b/>
                <w:bCs/>
              </w:rPr>
            </w:pPr>
          </w:p>
          <w:p w:rsidR="00BC2ED5" w:rsidP="00886B73" w:rsidRDefault="00BC2ED5" w14:paraId="7648BE42" w14:textId="77777777">
            <w:pPr>
              <w:jc w:val="both"/>
              <w:rPr>
                <w:b/>
                <w:bCs/>
              </w:rPr>
            </w:pPr>
          </w:p>
          <w:p w:rsidR="00BC2ED5" w:rsidP="00886B73" w:rsidRDefault="00BC2ED5" w14:paraId="5FB7D63F" w14:textId="77777777">
            <w:pPr>
              <w:jc w:val="both"/>
              <w:rPr>
                <w:b/>
                <w:bCs/>
              </w:rPr>
            </w:pPr>
          </w:p>
          <w:p w:rsidR="00BC2ED5" w:rsidP="00886B73" w:rsidRDefault="00BC2ED5" w14:paraId="2AA31ADC" w14:textId="77777777">
            <w:pPr>
              <w:jc w:val="both"/>
              <w:rPr>
                <w:b/>
                <w:bCs/>
              </w:rPr>
            </w:pPr>
          </w:p>
          <w:p w:rsidR="00BC2ED5" w:rsidP="00886B73" w:rsidRDefault="00BC2ED5" w14:paraId="4E4A39F2" w14:textId="77777777">
            <w:pPr>
              <w:jc w:val="both"/>
              <w:rPr>
                <w:b/>
                <w:bCs/>
              </w:rPr>
            </w:pPr>
          </w:p>
          <w:p w:rsidR="00BC2ED5" w:rsidP="00886B73" w:rsidRDefault="00BC2ED5" w14:paraId="109DD275" w14:textId="77777777">
            <w:pPr>
              <w:jc w:val="both"/>
              <w:rPr>
                <w:b/>
                <w:bCs/>
              </w:rPr>
            </w:pPr>
          </w:p>
          <w:p w:rsidR="00BC2ED5" w:rsidP="00886B73" w:rsidRDefault="00BC2ED5" w14:paraId="119F884E" w14:textId="77777777">
            <w:pPr>
              <w:jc w:val="both"/>
              <w:rPr>
                <w:b/>
                <w:bCs/>
              </w:rPr>
            </w:pPr>
          </w:p>
          <w:p w:rsidR="00BC2ED5" w:rsidP="00886B73" w:rsidRDefault="00BC2ED5" w14:paraId="303CDBD9" w14:textId="77777777">
            <w:pPr>
              <w:jc w:val="both"/>
              <w:rPr>
                <w:b/>
                <w:bCs/>
              </w:rPr>
            </w:pPr>
          </w:p>
          <w:p w:rsidR="00BC2ED5" w:rsidP="00886B73" w:rsidRDefault="00BC2ED5" w14:paraId="29CAE08F" w14:textId="77777777">
            <w:pPr>
              <w:jc w:val="both"/>
              <w:rPr>
                <w:b/>
                <w:bCs/>
              </w:rPr>
            </w:pPr>
          </w:p>
          <w:p w:rsidR="00BC2ED5" w:rsidP="00886B73" w:rsidRDefault="00BC2ED5" w14:paraId="6715A7C9" w14:textId="77777777">
            <w:pPr>
              <w:jc w:val="both"/>
              <w:rPr>
                <w:b/>
                <w:bCs/>
              </w:rPr>
            </w:pPr>
          </w:p>
          <w:p w:rsidRPr="006E1929" w:rsidR="00BC2ED5" w:rsidP="00886B73" w:rsidRDefault="00BC2ED5" w14:paraId="44D2C20E" w14:textId="77777777">
            <w:pPr>
              <w:rPr>
                <w:b/>
                <w:bCs/>
              </w:rPr>
            </w:pPr>
          </w:p>
        </w:tc>
      </w:tr>
      <w:tr w:rsidR="00BC2ED5" w:rsidTr="00886B73" w14:paraId="08ECA304" w14:textId="77777777">
        <w:tc>
          <w:tcPr>
            <w:tcW w:w="9016" w:type="dxa"/>
            <w:shd w:val="clear" w:color="auto" w:fill="E7E6E6" w:themeFill="background2"/>
          </w:tcPr>
          <w:p w:rsidR="00BC2ED5" w:rsidP="00886B73" w:rsidRDefault="00BC2ED5" w14:paraId="082D528D"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BC2ED5" w:rsidP="00886B73" w:rsidRDefault="00BC2ED5" w14:paraId="4DC4909D" w14:textId="77777777">
            <w:pPr>
              <w:pStyle w:val="Subheading"/>
            </w:pPr>
          </w:p>
        </w:tc>
      </w:tr>
      <w:tr w:rsidR="00BC2ED5" w:rsidTr="00886B73" w14:paraId="001699E3" w14:textId="77777777">
        <w:tc>
          <w:tcPr>
            <w:tcW w:w="9016" w:type="dxa"/>
          </w:tcPr>
          <w:p w:rsidR="00BC2ED5" w:rsidP="00886B73" w:rsidRDefault="00BC2ED5" w14:paraId="79368AF8" w14:textId="77777777">
            <w:pPr>
              <w:pStyle w:val="Subsubheading"/>
            </w:pPr>
            <w:r>
              <w:t xml:space="preserve">Notes </w:t>
            </w:r>
          </w:p>
          <w:p w:rsidR="00BC2ED5" w:rsidP="00886B73" w:rsidRDefault="00BC2ED5" w14:paraId="3C7E46FA" w14:textId="77777777">
            <w:pPr>
              <w:pStyle w:val="Subsubheading"/>
              <w:jc w:val="both"/>
            </w:pPr>
          </w:p>
          <w:p w:rsidR="00BC2ED5" w:rsidP="00886B73" w:rsidRDefault="00BC2ED5" w14:paraId="5375BA76" w14:textId="77777777">
            <w:pPr>
              <w:pStyle w:val="Subheading"/>
              <w:jc w:val="both"/>
            </w:pPr>
          </w:p>
          <w:p w:rsidR="00BC2ED5" w:rsidP="00886B73" w:rsidRDefault="00BC2ED5" w14:paraId="667F324E" w14:textId="77777777">
            <w:pPr>
              <w:pStyle w:val="Subheading"/>
              <w:jc w:val="both"/>
            </w:pPr>
          </w:p>
          <w:p w:rsidR="00BC2ED5" w:rsidP="00886B73" w:rsidRDefault="00BC2ED5" w14:paraId="38B9DAB0" w14:textId="77777777">
            <w:pPr>
              <w:pStyle w:val="Subheading"/>
              <w:jc w:val="both"/>
            </w:pPr>
          </w:p>
          <w:p w:rsidR="00BC2ED5" w:rsidP="00886B73" w:rsidRDefault="00BC2ED5" w14:paraId="4D07718C" w14:textId="77777777">
            <w:pPr>
              <w:pStyle w:val="Subheading"/>
              <w:jc w:val="both"/>
            </w:pPr>
          </w:p>
          <w:p w:rsidR="00BC2ED5" w:rsidP="00886B73" w:rsidRDefault="00BC2ED5" w14:paraId="319BD902" w14:textId="77777777">
            <w:pPr>
              <w:pStyle w:val="Subheading"/>
              <w:jc w:val="both"/>
            </w:pPr>
          </w:p>
          <w:p w:rsidR="00BC2ED5" w:rsidP="00886B73" w:rsidRDefault="00BC2ED5" w14:paraId="42E0F0B3" w14:textId="77777777">
            <w:pPr>
              <w:pStyle w:val="Subheading"/>
              <w:jc w:val="both"/>
            </w:pPr>
          </w:p>
          <w:p w:rsidR="00BC2ED5" w:rsidP="00886B73" w:rsidRDefault="00BC2ED5" w14:paraId="4A7EEE19" w14:textId="77777777">
            <w:pPr>
              <w:pStyle w:val="Subheading"/>
              <w:jc w:val="both"/>
            </w:pPr>
          </w:p>
          <w:p w:rsidR="00BC2ED5" w:rsidP="00886B73" w:rsidRDefault="00BC2ED5" w14:paraId="02812494" w14:textId="77777777">
            <w:pPr>
              <w:pStyle w:val="Subheading"/>
              <w:jc w:val="both"/>
            </w:pPr>
          </w:p>
          <w:p w:rsidR="00BC2ED5" w:rsidP="00886B73" w:rsidRDefault="00BC2ED5" w14:paraId="2F650008" w14:textId="77777777">
            <w:pPr>
              <w:pStyle w:val="Subheading"/>
              <w:jc w:val="both"/>
            </w:pPr>
          </w:p>
          <w:p w:rsidR="00BC2ED5" w:rsidP="00886B73" w:rsidRDefault="00BC2ED5" w14:paraId="505C8363" w14:textId="77777777">
            <w:pPr>
              <w:pStyle w:val="Subheading"/>
              <w:jc w:val="both"/>
            </w:pPr>
          </w:p>
          <w:p w:rsidR="00BC2ED5" w:rsidP="00886B73" w:rsidRDefault="00BC2ED5" w14:paraId="34D5A441" w14:textId="77777777">
            <w:pPr>
              <w:pStyle w:val="Subheading"/>
              <w:jc w:val="both"/>
            </w:pPr>
          </w:p>
          <w:p w:rsidR="00BC2ED5" w:rsidP="00886B73" w:rsidRDefault="00BC2ED5" w14:paraId="50BF0A93" w14:textId="77777777">
            <w:pPr>
              <w:pStyle w:val="Subheading"/>
              <w:jc w:val="both"/>
            </w:pPr>
          </w:p>
          <w:p w:rsidR="00BC2ED5" w:rsidP="00886B73" w:rsidRDefault="00BC2ED5" w14:paraId="4C0587D0" w14:textId="77777777">
            <w:pPr>
              <w:pStyle w:val="Subheading"/>
              <w:jc w:val="both"/>
            </w:pPr>
          </w:p>
          <w:p w:rsidR="00BC2ED5" w:rsidP="00886B73" w:rsidRDefault="00BC2ED5" w14:paraId="0B380B4F" w14:textId="77777777">
            <w:pPr>
              <w:pStyle w:val="Subheading"/>
            </w:pPr>
          </w:p>
        </w:tc>
      </w:tr>
      <w:tr w:rsidR="00BC2ED5" w:rsidTr="00886B73" w14:paraId="0037EAEE" w14:textId="77777777">
        <w:tc>
          <w:tcPr>
            <w:tcW w:w="9016" w:type="dxa"/>
            <w:shd w:val="clear" w:color="auto" w:fill="E7E6E6" w:themeFill="background2"/>
          </w:tcPr>
          <w:p w:rsidR="00BC2ED5" w:rsidP="00886B73" w:rsidRDefault="00BC2ED5" w14:paraId="7E1A582D" w14:textId="77777777">
            <w:r>
              <w:rPr>
                <w:b/>
                <w:bCs/>
              </w:rPr>
              <w:lastRenderedPageBreak/>
              <w:t>Probe areas for development</w:t>
            </w:r>
            <w:r>
              <w:rPr>
                <w:b/>
                <w:bCs/>
              </w:rPr>
              <w:br/>
            </w:r>
            <w:r>
              <w:t xml:space="preserve">Based on your notes from the observation, identify an area for development linked the current focus area. You may wish to ask your ECT to share their notes from their reflections during the self-study as part of this process to help elicit their understanding and drive the dialogic process.  </w:t>
            </w:r>
          </w:p>
          <w:p w:rsidR="00BC2ED5" w:rsidP="00886B73" w:rsidRDefault="00BC2ED5" w14:paraId="53B5B7D3" w14:textId="77777777">
            <w:pPr>
              <w:jc w:val="both"/>
            </w:pPr>
          </w:p>
          <w:p w:rsidR="00BC2ED5" w:rsidP="00886B73" w:rsidRDefault="00BC2ED5" w14:paraId="7D59FC7B" w14:textId="77777777">
            <w:pPr>
              <w:spacing w:line="276" w:lineRule="auto"/>
            </w:pPr>
            <w:r>
              <w:t xml:space="preserve"> </w:t>
            </w:r>
          </w:p>
        </w:tc>
      </w:tr>
      <w:tr w:rsidR="00BC2ED5" w:rsidTr="00886B73" w14:paraId="2D257169" w14:textId="77777777">
        <w:tc>
          <w:tcPr>
            <w:tcW w:w="9016" w:type="dxa"/>
          </w:tcPr>
          <w:p w:rsidR="00BC2ED5" w:rsidP="00886B73" w:rsidRDefault="00BC2ED5" w14:paraId="7C3C63D4" w14:textId="77777777">
            <w:pPr>
              <w:pStyle w:val="Subsubheading"/>
              <w:jc w:val="both"/>
            </w:pPr>
            <w:r>
              <w:t>Notes (include relevant dates and details from specific observations)</w:t>
            </w:r>
          </w:p>
          <w:p w:rsidR="00BC2ED5" w:rsidP="00886B73" w:rsidRDefault="00BC2ED5" w14:paraId="33CEC523" w14:textId="77777777">
            <w:pPr>
              <w:pStyle w:val="Subheading"/>
              <w:jc w:val="both"/>
            </w:pPr>
          </w:p>
          <w:p w:rsidR="00BC2ED5" w:rsidP="00886B73" w:rsidRDefault="00BC2ED5" w14:paraId="1E6DA104" w14:textId="77777777">
            <w:pPr>
              <w:pStyle w:val="Subheading"/>
              <w:jc w:val="both"/>
            </w:pPr>
          </w:p>
          <w:p w:rsidR="00BC2ED5" w:rsidP="00886B73" w:rsidRDefault="00BC2ED5" w14:paraId="6EC6CD00" w14:textId="77777777">
            <w:pPr>
              <w:pStyle w:val="Subheading"/>
              <w:jc w:val="both"/>
            </w:pPr>
          </w:p>
          <w:p w:rsidR="00BC2ED5" w:rsidP="00886B73" w:rsidRDefault="00BC2ED5" w14:paraId="5BB35BD4" w14:textId="77777777">
            <w:pPr>
              <w:pStyle w:val="Subheading"/>
              <w:jc w:val="both"/>
            </w:pPr>
          </w:p>
          <w:p w:rsidR="00BC2ED5" w:rsidP="00886B73" w:rsidRDefault="00BC2ED5" w14:paraId="0AD6C456" w14:textId="77777777">
            <w:pPr>
              <w:pStyle w:val="Subheading"/>
              <w:jc w:val="both"/>
            </w:pPr>
          </w:p>
          <w:p w:rsidR="00BC2ED5" w:rsidP="00886B73" w:rsidRDefault="00BC2ED5" w14:paraId="6C36D56E" w14:textId="77777777">
            <w:pPr>
              <w:pStyle w:val="Subheading"/>
              <w:jc w:val="both"/>
            </w:pPr>
          </w:p>
          <w:p w:rsidR="00BC2ED5" w:rsidP="00886B73" w:rsidRDefault="00BC2ED5" w14:paraId="0EA6D406" w14:textId="77777777">
            <w:pPr>
              <w:pStyle w:val="Subheading"/>
              <w:jc w:val="both"/>
            </w:pPr>
          </w:p>
          <w:p w:rsidR="00BC2ED5" w:rsidP="00886B73" w:rsidRDefault="00BC2ED5" w14:paraId="3120B5C9" w14:textId="77777777">
            <w:pPr>
              <w:pStyle w:val="Subheading"/>
              <w:jc w:val="both"/>
            </w:pPr>
          </w:p>
          <w:p w:rsidR="00BC2ED5" w:rsidP="00886B73" w:rsidRDefault="00BC2ED5" w14:paraId="4EEA9E0F" w14:textId="77777777">
            <w:pPr>
              <w:pStyle w:val="Subheading"/>
              <w:jc w:val="both"/>
            </w:pPr>
          </w:p>
          <w:p w:rsidR="00BC2ED5" w:rsidP="00886B73" w:rsidRDefault="00BC2ED5" w14:paraId="19BE8E94" w14:textId="77777777">
            <w:pPr>
              <w:pStyle w:val="Subheading"/>
              <w:jc w:val="both"/>
            </w:pPr>
          </w:p>
          <w:p w:rsidR="00BC2ED5" w:rsidP="00886B73" w:rsidRDefault="00BC2ED5" w14:paraId="3E70712C" w14:textId="77777777">
            <w:pPr>
              <w:pStyle w:val="Subheading"/>
              <w:jc w:val="both"/>
            </w:pPr>
          </w:p>
          <w:p w:rsidR="00BC2ED5" w:rsidP="00886B73" w:rsidRDefault="00BC2ED5" w14:paraId="7AB281AB" w14:textId="77777777">
            <w:pPr>
              <w:pStyle w:val="Subheading"/>
            </w:pPr>
          </w:p>
        </w:tc>
      </w:tr>
      <w:tr w:rsidR="00BC2ED5" w:rsidTr="00886B73" w14:paraId="7573AB97" w14:textId="77777777">
        <w:tc>
          <w:tcPr>
            <w:tcW w:w="9016" w:type="dxa"/>
            <w:shd w:val="clear" w:color="auto" w:fill="E7E6E6" w:themeFill="background2"/>
          </w:tcPr>
          <w:p w:rsidR="00BC2ED5" w:rsidP="00886B73" w:rsidRDefault="00BC2ED5" w14:paraId="107C9F64"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BC2ED5" w:rsidP="00886B73" w:rsidRDefault="00BC2ED5" w14:paraId="17FB756E" w14:textId="77777777">
            <w:pPr>
              <w:pStyle w:val="ListParagraph"/>
              <w:numPr>
                <w:ilvl w:val="0"/>
                <w:numId w:val="30"/>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BC2ED5" w:rsidP="00886B73" w:rsidRDefault="00BC2ED5" w14:paraId="24D4B5FC" w14:textId="77777777">
            <w:pPr>
              <w:pStyle w:val="ListParagraph"/>
              <w:numPr>
                <w:ilvl w:val="0"/>
                <w:numId w:val="30"/>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BC2ED5" w:rsidP="00886B73" w:rsidRDefault="00BC2ED5" w14:paraId="0F5640CB" w14:textId="77777777">
            <w:pPr>
              <w:pStyle w:val="ListParagraph"/>
              <w:numPr>
                <w:ilvl w:val="0"/>
                <w:numId w:val="30"/>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BC2ED5" w:rsidP="00886B73" w:rsidRDefault="00BC2ED5" w14:paraId="7B0060B8" w14:textId="77777777">
            <w:pPr>
              <w:pStyle w:val="ListParagraph"/>
              <w:numPr>
                <w:ilvl w:val="0"/>
                <w:numId w:val="30"/>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BC2ED5" w:rsidP="00886B73" w:rsidRDefault="00BC2ED5" w14:paraId="588B5CCB" w14:textId="77777777">
            <w:pPr>
              <w:pStyle w:val="Subheading"/>
            </w:pPr>
          </w:p>
        </w:tc>
      </w:tr>
      <w:tr w:rsidR="00BC2ED5" w:rsidTr="00886B73" w14:paraId="3C8AEBB1" w14:textId="77777777">
        <w:tc>
          <w:tcPr>
            <w:tcW w:w="9016" w:type="dxa"/>
          </w:tcPr>
          <w:p w:rsidR="00BC2ED5" w:rsidP="00886B73" w:rsidRDefault="00BC2ED5" w14:paraId="718AA382" w14:textId="77777777">
            <w:pPr>
              <w:pStyle w:val="Subsubheading"/>
            </w:pPr>
            <w:r>
              <w:t xml:space="preserve">Agreed precise action </w:t>
            </w:r>
          </w:p>
          <w:p w:rsidR="00BC2ED5" w:rsidP="00886B73" w:rsidRDefault="00BC2ED5" w14:paraId="6EAFA28B" w14:textId="77777777">
            <w:pPr>
              <w:pStyle w:val="Subheading"/>
              <w:jc w:val="both"/>
            </w:pPr>
          </w:p>
          <w:p w:rsidR="00BC2ED5" w:rsidP="00886B73" w:rsidRDefault="00BC2ED5" w14:paraId="62FB931F" w14:textId="77777777">
            <w:pPr>
              <w:pStyle w:val="Subheading"/>
              <w:jc w:val="both"/>
            </w:pPr>
          </w:p>
          <w:p w:rsidR="00BC2ED5" w:rsidP="00886B73" w:rsidRDefault="00BC2ED5" w14:paraId="68480A5D" w14:textId="77777777">
            <w:pPr>
              <w:pStyle w:val="Subheading"/>
              <w:jc w:val="both"/>
            </w:pPr>
          </w:p>
          <w:p w:rsidR="00BC2ED5" w:rsidP="00886B73" w:rsidRDefault="00BC2ED5" w14:paraId="2EC28686" w14:textId="77777777">
            <w:pPr>
              <w:pStyle w:val="Subheading"/>
              <w:jc w:val="both"/>
            </w:pPr>
          </w:p>
          <w:p w:rsidR="00BC2ED5" w:rsidP="00886B73" w:rsidRDefault="00BC2ED5" w14:paraId="77AF9C5E" w14:textId="77777777">
            <w:pPr>
              <w:pStyle w:val="Subheading"/>
              <w:jc w:val="both"/>
            </w:pPr>
          </w:p>
          <w:p w:rsidR="00BC2ED5" w:rsidP="00886B73" w:rsidRDefault="00BC2ED5" w14:paraId="270EAC40" w14:textId="77777777">
            <w:pPr>
              <w:pStyle w:val="Subheading"/>
              <w:jc w:val="both"/>
            </w:pPr>
          </w:p>
          <w:p w:rsidR="00BC2ED5" w:rsidP="00886B73" w:rsidRDefault="00BC2ED5" w14:paraId="5F9A26C9" w14:textId="77777777">
            <w:pPr>
              <w:pStyle w:val="Subheading"/>
              <w:jc w:val="both"/>
            </w:pPr>
          </w:p>
          <w:p w:rsidR="00BC2ED5" w:rsidP="00886B73" w:rsidRDefault="00BC2ED5" w14:paraId="12ACEEBB" w14:textId="77777777">
            <w:pPr>
              <w:pStyle w:val="Subheading"/>
              <w:jc w:val="both"/>
            </w:pPr>
          </w:p>
          <w:p w:rsidR="00BC2ED5" w:rsidP="00886B73" w:rsidRDefault="00BC2ED5" w14:paraId="78F2CE84" w14:textId="77777777">
            <w:pPr>
              <w:pStyle w:val="Subheading"/>
              <w:jc w:val="both"/>
            </w:pPr>
          </w:p>
          <w:p w:rsidR="00BC2ED5" w:rsidP="00886B73" w:rsidRDefault="00BC2ED5" w14:paraId="15E991CC" w14:textId="77777777">
            <w:pPr>
              <w:pStyle w:val="Subheading"/>
            </w:pPr>
          </w:p>
        </w:tc>
      </w:tr>
      <w:tr w:rsidR="00BC2ED5" w:rsidTr="00886B73" w14:paraId="5C9E55E0" w14:textId="77777777">
        <w:tc>
          <w:tcPr>
            <w:tcW w:w="9016" w:type="dxa"/>
            <w:shd w:val="clear" w:color="auto" w:fill="E7E6E6" w:themeFill="background2"/>
          </w:tcPr>
          <w:p w:rsidR="00BC2ED5" w:rsidP="00886B73" w:rsidRDefault="00BC2ED5" w14:paraId="3880C210" w14:textId="77777777">
            <w:pPr>
              <w:pStyle w:val="Subheading"/>
              <w:rPr>
                <w:b w:val="0"/>
                <w:bCs w:val="0"/>
                <w:color w:val="auto"/>
              </w:rPr>
            </w:pPr>
            <w:r>
              <w:rPr>
                <w:color w:val="auto"/>
              </w:rPr>
              <w:t xml:space="preserve">Plan based on actions: </w:t>
            </w:r>
            <w:r>
              <w:rPr>
                <w:b w:val="0"/>
                <w:bCs w:val="0"/>
                <w:color w:val="auto"/>
              </w:rPr>
              <w:t>Work with your ECT to review and refine their chose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BC2ED5" w:rsidP="00886B73" w:rsidRDefault="00BC2ED5" w14:paraId="3EA1B4B5" w14:textId="77777777">
            <w:pPr>
              <w:pStyle w:val="Subsubheading"/>
              <w:rPr>
                <w:b w:val="0"/>
                <w:bCs w:val="0"/>
              </w:rPr>
            </w:pPr>
          </w:p>
        </w:tc>
      </w:tr>
      <w:tr w:rsidR="00BC2ED5" w:rsidTr="00886B73" w14:paraId="548F58D0" w14:textId="77777777">
        <w:tc>
          <w:tcPr>
            <w:tcW w:w="9016" w:type="dxa"/>
          </w:tcPr>
          <w:p w:rsidR="00BC2ED5" w:rsidP="00886B73" w:rsidRDefault="00BC2ED5" w14:paraId="41514F36" w14:textId="77777777">
            <w:pPr>
              <w:pStyle w:val="Subheading"/>
              <w:rPr>
                <w:color w:val="auto"/>
              </w:rPr>
            </w:pPr>
            <w:r>
              <w:rPr>
                <w:color w:val="auto"/>
              </w:rPr>
              <w:lastRenderedPageBreak/>
              <w:t>Observations of colleagues?</w:t>
            </w:r>
          </w:p>
          <w:p w:rsidR="00BC2ED5" w:rsidP="00886B73" w:rsidRDefault="00BC2ED5" w14:paraId="6758A67A" w14:textId="77777777">
            <w:pPr>
              <w:pStyle w:val="Subheading"/>
              <w:jc w:val="both"/>
              <w:rPr>
                <w:color w:val="auto"/>
              </w:rPr>
            </w:pPr>
          </w:p>
          <w:p w:rsidR="00BC2ED5" w:rsidP="00886B73" w:rsidRDefault="00BC2ED5" w14:paraId="4EF78AAF" w14:textId="77777777">
            <w:pPr>
              <w:pStyle w:val="Subheading"/>
              <w:jc w:val="both"/>
              <w:rPr>
                <w:color w:val="auto"/>
              </w:rPr>
            </w:pPr>
          </w:p>
          <w:p w:rsidR="00BC2ED5" w:rsidP="00886B73" w:rsidRDefault="00BC2ED5" w14:paraId="099038CA" w14:textId="77777777">
            <w:pPr>
              <w:pStyle w:val="Subheading"/>
              <w:rPr>
                <w:color w:val="auto"/>
              </w:rPr>
            </w:pPr>
            <w:r>
              <w:rPr>
                <w:color w:val="auto"/>
              </w:rPr>
              <w:t>When will the action be implemented within the lesson?</w:t>
            </w:r>
          </w:p>
          <w:p w:rsidR="00BC2ED5" w:rsidP="00886B73" w:rsidRDefault="00BC2ED5" w14:paraId="7CDF4F5B" w14:textId="77777777">
            <w:pPr>
              <w:pStyle w:val="Subheading"/>
              <w:jc w:val="both"/>
              <w:rPr>
                <w:color w:val="auto"/>
              </w:rPr>
            </w:pPr>
          </w:p>
          <w:p w:rsidR="00BC2ED5" w:rsidP="00886B73" w:rsidRDefault="00BC2ED5" w14:paraId="1DF45C2F" w14:textId="77777777">
            <w:pPr>
              <w:pStyle w:val="Subheading"/>
              <w:jc w:val="both"/>
              <w:rPr>
                <w:color w:val="auto"/>
              </w:rPr>
            </w:pPr>
          </w:p>
          <w:p w:rsidR="00BC2ED5" w:rsidP="00886B73" w:rsidRDefault="00BC2ED5" w14:paraId="42812FF2" w14:textId="77777777">
            <w:pPr>
              <w:pStyle w:val="Subheading"/>
              <w:jc w:val="both"/>
              <w:rPr>
                <w:color w:val="auto"/>
              </w:rPr>
            </w:pPr>
          </w:p>
          <w:p w:rsidR="00BC2ED5" w:rsidP="00886B73" w:rsidRDefault="00BC2ED5" w14:paraId="71192B95" w14:textId="77777777">
            <w:pPr>
              <w:pStyle w:val="Subheading"/>
              <w:jc w:val="both"/>
              <w:rPr>
                <w:color w:val="auto"/>
              </w:rPr>
            </w:pPr>
          </w:p>
          <w:p w:rsidR="00BC2ED5" w:rsidP="00886B73" w:rsidRDefault="00BC2ED5" w14:paraId="6DA9D6B5"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BC2ED5" w:rsidP="00886B73" w:rsidRDefault="00BC2ED5" w14:paraId="279EC708" w14:textId="77777777">
            <w:pPr>
              <w:pStyle w:val="Subheading"/>
              <w:jc w:val="both"/>
              <w:rPr>
                <w:color w:val="auto"/>
              </w:rPr>
            </w:pPr>
          </w:p>
          <w:p w:rsidR="00BC2ED5" w:rsidP="00886B73" w:rsidRDefault="00BC2ED5" w14:paraId="11463954" w14:textId="77777777">
            <w:pPr>
              <w:pStyle w:val="Subheading"/>
              <w:jc w:val="both"/>
              <w:rPr>
                <w:color w:val="auto"/>
              </w:rPr>
            </w:pPr>
          </w:p>
          <w:p w:rsidR="00BC2ED5" w:rsidP="00886B73" w:rsidRDefault="00BC2ED5" w14:paraId="4E120090" w14:textId="77777777">
            <w:pPr>
              <w:pStyle w:val="Subheading"/>
              <w:jc w:val="both"/>
              <w:rPr>
                <w:color w:val="auto"/>
              </w:rPr>
            </w:pPr>
          </w:p>
          <w:p w:rsidR="00BC2ED5" w:rsidP="00886B73" w:rsidRDefault="00BC2ED5" w14:paraId="23AC853B" w14:textId="77777777">
            <w:pPr>
              <w:pStyle w:val="Subheading"/>
              <w:jc w:val="both"/>
              <w:rPr>
                <w:color w:val="auto"/>
              </w:rPr>
            </w:pPr>
          </w:p>
          <w:p w:rsidR="00BC2ED5" w:rsidP="00886B73" w:rsidRDefault="00BC2ED5" w14:paraId="2C7FF802" w14:textId="77777777">
            <w:pPr>
              <w:pStyle w:val="Subheading"/>
              <w:jc w:val="both"/>
              <w:rPr>
                <w:color w:val="auto"/>
              </w:rPr>
            </w:pPr>
          </w:p>
          <w:p w:rsidRPr="000513B7" w:rsidR="00BC2ED5" w:rsidP="00886B73" w:rsidRDefault="00BC2ED5" w14:paraId="445A3AD2" w14:textId="77777777">
            <w:pPr>
              <w:pStyle w:val="Subheading"/>
              <w:rPr>
                <w:color w:val="auto"/>
              </w:rPr>
            </w:pPr>
          </w:p>
        </w:tc>
      </w:tr>
      <w:tr w:rsidR="00BC2ED5" w:rsidTr="00886B73" w14:paraId="086209B6" w14:textId="77777777">
        <w:tc>
          <w:tcPr>
            <w:tcW w:w="9016" w:type="dxa"/>
            <w:shd w:val="clear" w:color="auto" w:fill="E7E6E6" w:themeFill="background2"/>
          </w:tcPr>
          <w:p w:rsidR="00BC2ED5" w:rsidP="00886B73" w:rsidRDefault="00BC2ED5" w14:paraId="1A4F0B31" w14:textId="77777777">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BC2ED5" w:rsidP="00886B73" w:rsidRDefault="00BC2ED5" w14:paraId="656D124B" w14:textId="77777777">
            <w:pPr>
              <w:pStyle w:val="ListParagraph"/>
              <w:numPr>
                <w:ilvl w:val="0"/>
                <w:numId w:val="31"/>
              </w:numPr>
              <w:jc w:val="both"/>
              <w:rPr>
                <w:rFonts w:cstheme="minorBidi"/>
              </w:rPr>
            </w:pPr>
            <w:r>
              <w:rPr>
                <w:b/>
                <w:bCs/>
              </w:rPr>
              <w:t>Review</w:t>
            </w:r>
            <w:r>
              <w:t xml:space="preserve"> what effective delivery would look like.</w:t>
            </w:r>
          </w:p>
          <w:p w:rsidR="00BC2ED5" w:rsidP="00886B73" w:rsidRDefault="00BC2ED5" w14:paraId="2463A9A1" w14:textId="77777777">
            <w:pPr>
              <w:pStyle w:val="ListParagraph"/>
              <w:numPr>
                <w:ilvl w:val="0"/>
                <w:numId w:val="31"/>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BC2ED5" w:rsidP="00886B73" w:rsidRDefault="00BC2ED5" w14:paraId="1E6F4BEC" w14:textId="77777777">
            <w:pPr>
              <w:pStyle w:val="ListParagraph"/>
              <w:numPr>
                <w:ilvl w:val="0"/>
                <w:numId w:val="31"/>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BC2ED5" w:rsidP="00886B73" w:rsidRDefault="00BC2ED5" w14:paraId="2EC06CAF" w14:textId="77777777">
            <w:pPr>
              <w:pStyle w:val="ListParagraph"/>
              <w:numPr>
                <w:ilvl w:val="0"/>
                <w:numId w:val="31"/>
              </w:numPr>
              <w:jc w:val="both"/>
            </w:pPr>
            <w:r>
              <w:t xml:space="preserve">Provide </w:t>
            </w:r>
            <w:r>
              <w:rPr>
                <w:b/>
                <w:bCs/>
              </w:rPr>
              <w:t>feedback</w:t>
            </w:r>
            <w:r>
              <w:t xml:space="preserve"> based on the success criteria and support your ECT as required. ​ This may involve repeating the practice until all the success criteria are successfully achieved</w:t>
            </w:r>
          </w:p>
          <w:p w:rsidR="00BC2ED5" w:rsidP="00886B73" w:rsidRDefault="00BC2ED5" w14:paraId="27164826" w14:textId="77777777">
            <w:pPr>
              <w:jc w:val="both"/>
            </w:pPr>
          </w:p>
          <w:p w:rsidRPr="004739ED" w:rsidR="00BC2ED5" w:rsidP="00886B73" w:rsidRDefault="00BC2ED5" w14:paraId="1CDA93BA" w14:textId="77777777">
            <w:pPr>
              <w:spacing w:line="276" w:lineRule="auto"/>
            </w:pPr>
          </w:p>
        </w:tc>
      </w:tr>
      <w:tr w:rsidR="00BC2ED5" w:rsidTr="00886B73" w14:paraId="4C23D93B" w14:textId="77777777">
        <w:tc>
          <w:tcPr>
            <w:tcW w:w="9016" w:type="dxa"/>
            <w:shd w:val="clear" w:color="auto" w:fill="auto"/>
          </w:tcPr>
          <w:p w:rsidR="00BC2ED5" w:rsidP="00886B73" w:rsidRDefault="00BC2ED5" w14:paraId="341B3501" w14:textId="77777777">
            <w:pPr>
              <w:rPr>
                <w:b/>
                <w:bCs/>
              </w:rPr>
            </w:pPr>
            <w:r>
              <w:rPr>
                <w:b/>
                <w:bCs/>
              </w:rPr>
              <w:t xml:space="preserve">Feedback: </w:t>
            </w:r>
          </w:p>
          <w:p w:rsidR="00BC2ED5" w:rsidP="00886B73" w:rsidRDefault="00BC2ED5" w14:paraId="12CD2F73" w14:textId="77777777">
            <w:pPr>
              <w:jc w:val="both"/>
              <w:rPr>
                <w:b/>
                <w:bCs/>
              </w:rPr>
            </w:pPr>
          </w:p>
          <w:p w:rsidR="00BC2ED5" w:rsidP="00886B73" w:rsidRDefault="00BC2ED5" w14:paraId="64A1F836" w14:textId="77777777">
            <w:pPr>
              <w:jc w:val="both"/>
              <w:rPr>
                <w:b/>
                <w:bCs/>
              </w:rPr>
            </w:pPr>
          </w:p>
          <w:p w:rsidR="00BC2ED5" w:rsidP="00886B73" w:rsidRDefault="00BC2ED5" w14:paraId="34BC1A9E" w14:textId="77777777">
            <w:pPr>
              <w:jc w:val="both"/>
              <w:rPr>
                <w:b/>
                <w:bCs/>
              </w:rPr>
            </w:pPr>
          </w:p>
          <w:p w:rsidR="00BC2ED5" w:rsidP="00886B73" w:rsidRDefault="00BC2ED5" w14:paraId="2F55E190" w14:textId="77777777">
            <w:pPr>
              <w:jc w:val="both"/>
              <w:rPr>
                <w:b/>
                <w:bCs/>
              </w:rPr>
            </w:pPr>
          </w:p>
          <w:p w:rsidR="00BC2ED5" w:rsidP="00886B73" w:rsidRDefault="00BC2ED5" w14:paraId="0CBB13B4" w14:textId="77777777">
            <w:pPr>
              <w:jc w:val="both"/>
              <w:rPr>
                <w:b/>
                <w:bCs/>
              </w:rPr>
            </w:pPr>
          </w:p>
          <w:p w:rsidR="00BC2ED5" w:rsidP="00886B73" w:rsidRDefault="00BC2ED5" w14:paraId="7FEF9151" w14:textId="77777777">
            <w:pPr>
              <w:jc w:val="both"/>
              <w:rPr>
                <w:b/>
                <w:bCs/>
              </w:rPr>
            </w:pPr>
          </w:p>
          <w:p w:rsidR="00BC2ED5" w:rsidP="00886B73" w:rsidRDefault="00BC2ED5" w14:paraId="24A6C1B8" w14:textId="77777777">
            <w:pPr>
              <w:jc w:val="both"/>
              <w:rPr>
                <w:b/>
                <w:bCs/>
              </w:rPr>
            </w:pPr>
          </w:p>
          <w:p w:rsidR="00BC2ED5" w:rsidP="00886B73" w:rsidRDefault="00BC2ED5" w14:paraId="2C627BE6" w14:textId="77777777">
            <w:pPr>
              <w:jc w:val="both"/>
              <w:rPr>
                <w:b/>
                <w:bCs/>
              </w:rPr>
            </w:pPr>
          </w:p>
          <w:p w:rsidR="00BC2ED5" w:rsidP="00886B73" w:rsidRDefault="00BC2ED5" w14:paraId="5937E80A" w14:textId="77777777">
            <w:pPr>
              <w:jc w:val="both"/>
              <w:rPr>
                <w:b/>
                <w:bCs/>
              </w:rPr>
            </w:pPr>
          </w:p>
          <w:p w:rsidR="00BC2ED5" w:rsidP="00886B73" w:rsidRDefault="00BC2ED5" w14:paraId="50CDBE65" w14:textId="77777777">
            <w:pPr>
              <w:jc w:val="both"/>
              <w:rPr>
                <w:b/>
                <w:bCs/>
              </w:rPr>
            </w:pPr>
          </w:p>
          <w:p w:rsidR="00BC2ED5" w:rsidP="00886B73" w:rsidRDefault="00BC2ED5" w14:paraId="000DFEB7" w14:textId="77777777">
            <w:pPr>
              <w:jc w:val="both"/>
              <w:rPr>
                <w:b/>
                <w:bCs/>
              </w:rPr>
            </w:pPr>
          </w:p>
          <w:p w:rsidRPr="000513B7" w:rsidR="00BC2ED5" w:rsidP="00886B73" w:rsidRDefault="00BC2ED5" w14:paraId="33F153AD" w14:textId="77777777">
            <w:pPr>
              <w:pStyle w:val="Subheading"/>
              <w:rPr>
                <w:color w:val="auto"/>
              </w:rPr>
            </w:pPr>
          </w:p>
        </w:tc>
      </w:tr>
      <w:tr w:rsidR="00BC2ED5" w:rsidTr="00886B73" w14:paraId="7579610C" w14:textId="77777777">
        <w:tc>
          <w:tcPr>
            <w:tcW w:w="9016" w:type="dxa"/>
            <w:shd w:val="clear" w:color="auto" w:fill="E7E6E6" w:themeFill="background2"/>
          </w:tcPr>
          <w:p w:rsidR="00BC2ED5" w:rsidP="00886B73" w:rsidRDefault="00BC2ED5" w14:paraId="16519B8E"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BC2ED5" w:rsidP="00886B73" w:rsidRDefault="00BC2ED5" w14:paraId="53C9585F" w14:textId="77777777">
            <w:pPr>
              <w:pStyle w:val="Subheading"/>
              <w:jc w:val="both"/>
              <w:rPr>
                <w:b w:val="0"/>
                <w:bCs w:val="0"/>
                <w:color w:val="auto"/>
              </w:rPr>
            </w:pPr>
          </w:p>
          <w:p w:rsidR="00BC2ED5" w:rsidP="00886B73" w:rsidRDefault="00BC2ED5" w14:paraId="6E5020C8" w14:textId="77777777">
            <w:pPr>
              <w:pStyle w:val="Subheading"/>
              <w:rPr>
                <w:color w:val="auto"/>
              </w:rPr>
            </w:pPr>
            <w:r>
              <w:rPr>
                <w:color w:val="auto"/>
              </w:rPr>
              <w:t xml:space="preserve">Time and date agreed with ECT: </w:t>
            </w:r>
          </w:p>
          <w:p w:rsidR="00BC2ED5" w:rsidP="00886B73" w:rsidRDefault="00BC2ED5" w14:paraId="1306848E" w14:textId="77777777">
            <w:pPr>
              <w:pStyle w:val="Subheading"/>
              <w:jc w:val="both"/>
              <w:rPr>
                <w:b w:val="0"/>
                <w:bCs w:val="0"/>
                <w:color w:val="auto"/>
              </w:rPr>
            </w:pPr>
          </w:p>
          <w:p w:rsidR="00BC2ED5" w:rsidP="00886B73" w:rsidRDefault="00BC2ED5" w14:paraId="7C1804A3" w14:textId="77777777">
            <w:pPr>
              <w:pStyle w:val="Subheading"/>
              <w:jc w:val="both"/>
              <w:rPr>
                <w:b w:val="0"/>
                <w:bCs w:val="0"/>
                <w:color w:val="auto"/>
              </w:rPr>
            </w:pPr>
          </w:p>
          <w:p w:rsidR="00BC2ED5" w:rsidP="00886B73" w:rsidRDefault="00BC2ED5" w14:paraId="4076E53D" w14:textId="77777777">
            <w:pPr>
              <w:pStyle w:val="Subheading"/>
              <w:jc w:val="both"/>
              <w:rPr>
                <w:color w:val="auto"/>
              </w:rPr>
            </w:pPr>
          </w:p>
          <w:p w:rsidRPr="000513B7" w:rsidR="00BC2ED5" w:rsidP="00886B73" w:rsidRDefault="00BC2ED5" w14:paraId="2C453119" w14:textId="77777777">
            <w:pPr>
              <w:pStyle w:val="Subheading"/>
              <w:rPr>
                <w:color w:val="auto"/>
              </w:rPr>
            </w:pPr>
          </w:p>
        </w:tc>
      </w:tr>
      <w:tr w:rsidR="00BC2ED5" w:rsidTr="00886B73" w14:paraId="30E4F7A4" w14:textId="77777777">
        <w:tc>
          <w:tcPr>
            <w:tcW w:w="9016" w:type="dxa"/>
            <w:shd w:val="clear" w:color="auto" w:fill="E7E6E6" w:themeFill="background2"/>
          </w:tcPr>
          <w:p w:rsidR="00BC2ED5" w:rsidP="00886B73" w:rsidRDefault="00BC2ED5" w14:paraId="4C8D08D0" w14:textId="77777777">
            <w:pPr>
              <w:pStyle w:val="Subsubheading"/>
            </w:pPr>
            <w:r>
              <w:rPr>
                <w:rStyle w:val="normaltextrun"/>
              </w:rPr>
              <w:lastRenderedPageBreak/>
              <w:t>Observing </w:t>
            </w:r>
            <w:r>
              <w:rPr>
                <w:rStyle w:val="eop"/>
              </w:rPr>
              <w:t xml:space="preserve">expert practice </w:t>
            </w:r>
          </w:p>
          <w:p w:rsidR="00BC2ED5" w:rsidP="00886B73" w:rsidRDefault="00BC2ED5" w14:paraId="5997EC5A"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maintains or restores relationships with pupils. </w:t>
            </w:r>
          </w:p>
          <w:p w:rsidR="00BC2ED5" w:rsidP="00886B73" w:rsidRDefault="00BC2ED5" w14:paraId="34531BE7"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BC2ED5" w:rsidP="00886B73" w:rsidRDefault="00BC2ED5" w14:paraId="73623346" w14:textId="77777777">
            <w:pPr>
              <w:pStyle w:val="paragraph"/>
              <w:spacing w:before="0" w:beforeAutospacing="0" w:after="0" w:afterAutospacing="0" w:line="276" w:lineRule="auto"/>
              <w:jc w:val="both"/>
              <w:textAlignment w:val="baseline"/>
              <w:rPr>
                <w:rFonts w:ascii="Tahoma" w:hAnsi="Tahoma" w:cs="Tahoma"/>
                <w:b/>
                <w:bCs/>
                <w:lang w:eastAsia="en-US"/>
              </w:rPr>
            </w:pPr>
          </w:p>
          <w:p w:rsidR="00BC2ED5" w:rsidP="00886B73" w:rsidRDefault="00BC2ED5" w14:paraId="1955F3C7" w14:textId="77777777">
            <w:pPr>
              <w:pStyle w:val="paragraph"/>
              <w:spacing w:before="0" w:beforeAutospacing="0" w:after="0" w:afterAutospacing="0" w:line="276" w:lineRule="auto"/>
              <w:jc w:val="both"/>
              <w:textAlignment w:val="baseline"/>
              <w:rPr>
                <w:rFonts w:ascii="Tahoma" w:hAnsi="Tahoma" w:cs="Tahoma"/>
                <w:lang w:eastAsia="en-US"/>
              </w:rPr>
            </w:pPr>
          </w:p>
          <w:p w:rsidR="00BC2ED5" w:rsidP="00886B73" w:rsidRDefault="00BC2ED5" w14:paraId="1175C9C6" w14:textId="77777777">
            <w:pPr>
              <w:pStyle w:val="paragraph"/>
              <w:spacing w:before="0" w:beforeAutospacing="0" w:after="0" w:afterAutospacing="0" w:line="276" w:lineRule="auto"/>
              <w:jc w:val="both"/>
              <w:textAlignment w:val="baseline"/>
              <w:rPr>
                <w:rFonts w:ascii="Tahoma" w:hAnsi="Tahoma" w:cs="Tahoma"/>
                <w:b/>
                <w:bCs/>
                <w:lang w:eastAsia="en-US"/>
              </w:rPr>
            </w:pPr>
          </w:p>
          <w:p w:rsidR="00BC2ED5" w:rsidP="00886B73" w:rsidRDefault="00BC2ED5" w14:paraId="6ECA7869" w14:textId="77777777">
            <w:pPr>
              <w:pStyle w:val="Subheading"/>
              <w:jc w:val="both"/>
              <w:rPr>
                <w:color w:val="auto"/>
              </w:rPr>
            </w:pPr>
          </w:p>
          <w:p w:rsidR="00BC2ED5" w:rsidP="00886B73" w:rsidRDefault="00BC2ED5" w14:paraId="687A38EC" w14:textId="77777777">
            <w:pPr>
              <w:pStyle w:val="Subheading"/>
              <w:jc w:val="both"/>
              <w:rPr>
                <w:color w:val="auto"/>
              </w:rPr>
            </w:pPr>
          </w:p>
          <w:p w:rsidR="00BC2ED5" w:rsidP="00886B73" w:rsidRDefault="00BC2ED5" w14:paraId="33E69B6A" w14:textId="77777777">
            <w:pPr>
              <w:pStyle w:val="Subheading"/>
              <w:rPr>
                <w:color w:val="auto"/>
              </w:rPr>
            </w:pPr>
          </w:p>
        </w:tc>
      </w:tr>
      <w:tr w:rsidR="00BC2ED5" w:rsidTr="00886B73" w14:paraId="53461F50" w14:textId="77777777">
        <w:tc>
          <w:tcPr>
            <w:tcW w:w="9016" w:type="dxa"/>
            <w:shd w:val="clear" w:color="auto" w:fill="E7E6E6" w:themeFill="background2"/>
          </w:tcPr>
          <w:p w:rsidR="00BC2ED5" w:rsidP="00886B73" w:rsidRDefault="00BC2ED5" w14:paraId="5AFD2904" w14:textId="77777777">
            <w:pPr>
              <w:pStyle w:val="Subsubheading"/>
              <w:jc w:val="both"/>
              <w:rPr>
                <w:rStyle w:val="normaltextrun"/>
              </w:rPr>
            </w:pPr>
            <w:r>
              <w:rPr>
                <w:rStyle w:val="normaltextrun"/>
              </w:rPr>
              <w:t>AOB (any other business)</w:t>
            </w:r>
          </w:p>
          <w:p w:rsidR="00BC2ED5" w:rsidP="00886B73" w:rsidRDefault="00BC2ED5" w14:paraId="3D1B6182"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BC2ED5" w:rsidP="00886B73" w:rsidRDefault="00BC2ED5" w14:paraId="5E789702" w14:textId="77777777">
            <w:pPr>
              <w:pStyle w:val="Subheading"/>
              <w:rPr>
                <w:rStyle w:val="normaltextrun"/>
              </w:rPr>
            </w:pPr>
          </w:p>
        </w:tc>
      </w:tr>
      <w:tr w:rsidR="00BC2ED5" w:rsidTr="00886B73" w14:paraId="40DD765B" w14:textId="77777777">
        <w:tc>
          <w:tcPr>
            <w:tcW w:w="9016" w:type="dxa"/>
            <w:shd w:val="clear" w:color="auto" w:fill="auto"/>
          </w:tcPr>
          <w:p w:rsidR="00BC2ED5" w:rsidP="00886B73" w:rsidRDefault="00BC2ED5" w14:paraId="442C1601" w14:textId="77777777">
            <w:pPr>
              <w:pStyle w:val="Subheading"/>
              <w:jc w:val="both"/>
              <w:rPr>
                <w:rStyle w:val="normaltextrun"/>
              </w:rPr>
            </w:pPr>
          </w:p>
          <w:p w:rsidR="00BC2ED5" w:rsidP="00886B73" w:rsidRDefault="00BC2ED5" w14:paraId="6A550B50" w14:textId="77777777">
            <w:pPr>
              <w:pStyle w:val="Subheading"/>
              <w:jc w:val="both"/>
              <w:rPr>
                <w:rStyle w:val="normaltextrun"/>
              </w:rPr>
            </w:pPr>
          </w:p>
          <w:p w:rsidR="00BC2ED5" w:rsidP="00886B73" w:rsidRDefault="00BC2ED5" w14:paraId="5B9FEBEE" w14:textId="77777777">
            <w:pPr>
              <w:pStyle w:val="Subheading"/>
              <w:jc w:val="both"/>
              <w:rPr>
                <w:rStyle w:val="normaltextrun"/>
              </w:rPr>
            </w:pPr>
          </w:p>
          <w:p w:rsidR="00BC2ED5" w:rsidP="00886B73" w:rsidRDefault="00BC2ED5" w14:paraId="212AEA92" w14:textId="77777777">
            <w:pPr>
              <w:pStyle w:val="Subheading"/>
              <w:jc w:val="both"/>
              <w:rPr>
                <w:rStyle w:val="normaltextrun"/>
              </w:rPr>
            </w:pPr>
          </w:p>
          <w:p w:rsidR="00BC2ED5" w:rsidP="00886B73" w:rsidRDefault="00BC2ED5" w14:paraId="0675A61B" w14:textId="77777777">
            <w:pPr>
              <w:pStyle w:val="Subheading"/>
              <w:jc w:val="both"/>
              <w:rPr>
                <w:rStyle w:val="normaltextrun"/>
              </w:rPr>
            </w:pPr>
          </w:p>
          <w:p w:rsidR="00BC2ED5" w:rsidP="00886B73" w:rsidRDefault="00BC2ED5" w14:paraId="6A71FCB9" w14:textId="77777777">
            <w:pPr>
              <w:pStyle w:val="Subheading"/>
              <w:jc w:val="both"/>
              <w:rPr>
                <w:rStyle w:val="normaltextrun"/>
              </w:rPr>
            </w:pPr>
          </w:p>
          <w:p w:rsidR="00BC2ED5" w:rsidP="00886B73" w:rsidRDefault="00BC2ED5" w14:paraId="31F937C6" w14:textId="77777777">
            <w:pPr>
              <w:pStyle w:val="Subheading"/>
              <w:rPr>
                <w:rStyle w:val="normaltextrun"/>
              </w:rPr>
            </w:pPr>
          </w:p>
        </w:tc>
      </w:tr>
    </w:tbl>
    <w:p w:rsidR="00BC2ED5" w:rsidP="00BC2ED5" w:rsidRDefault="00BC2ED5" w14:paraId="0B124938" w14:textId="77777777"/>
    <w:p w:rsidR="00BC2ED5" w:rsidP="00BC2ED5" w:rsidRDefault="00BC2ED5" w14:paraId="578F99BF" w14:textId="77777777">
      <w:pPr>
        <w:jc w:val="both"/>
      </w:pPr>
    </w:p>
    <w:p w:rsidR="0099798A" w:rsidRDefault="00BC2ED5" w14:paraId="6C7731BD" w14:textId="1FE8055A">
      <w:pPr>
        <w:jc w:val="both"/>
        <w:rPr>
          <w:rFonts w:ascii="Tahoma" w:hAnsi="Tahoma" w:cs="Tahoma"/>
          <w:b/>
          <w:bCs/>
          <w:color w:val="004B62" w:themeColor="text1"/>
          <w:sz w:val="28"/>
          <w:szCs w:val="28"/>
        </w:rPr>
      </w:pPr>
      <w:hyperlink w:history="1" w:anchor="Content">
        <w:r w:rsidRPr="00E03696">
          <w:rPr>
            <w:rStyle w:val="Hyperlink"/>
            <w:b/>
            <w:bCs/>
            <w:color w:val="0070C0"/>
          </w:rPr>
          <w:t>Click here to return to Content page</w:t>
        </w:r>
      </w:hyperlink>
    </w:p>
    <w:sectPr w:rsidR="0099798A"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6C5" w:rsidP="00403260" w:rsidRDefault="00FB46C5" w14:paraId="16F277D0" w14:textId="77777777">
      <w:pPr>
        <w:spacing w:after="0" w:line="240" w:lineRule="auto"/>
      </w:pPr>
      <w:r>
        <w:separator/>
      </w:r>
    </w:p>
  </w:endnote>
  <w:endnote w:type="continuationSeparator" w:id="0">
    <w:p w:rsidR="00FB46C5" w:rsidP="00403260" w:rsidRDefault="00FB46C5" w14:paraId="4DD9B1B7" w14:textId="77777777">
      <w:pPr>
        <w:spacing w:after="0" w:line="240" w:lineRule="auto"/>
      </w:pPr>
      <w:r>
        <w:continuationSeparator/>
      </w:r>
    </w:p>
  </w:endnote>
  <w:endnote w:type="continuationNotice" w:id="1">
    <w:p w:rsidR="00FB46C5" w:rsidRDefault="00FB46C5" w14:paraId="5BEAE9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6C5" w:rsidP="00403260" w:rsidRDefault="00FB46C5" w14:paraId="3A3D602E" w14:textId="77777777">
      <w:pPr>
        <w:spacing w:after="0" w:line="240" w:lineRule="auto"/>
      </w:pPr>
      <w:r>
        <w:separator/>
      </w:r>
    </w:p>
  </w:footnote>
  <w:footnote w:type="continuationSeparator" w:id="0">
    <w:p w:rsidR="00FB46C5" w:rsidP="00403260" w:rsidRDefault="00FB46C5" w14:paraId="0ABD4B73" w14:textId="77777777">
      <w:pPr>
        <w:spacing w:after="0" w:line="240" w:lineRule="auto"/>
      </w:pPr>
      <w:r>
        <w:continuationSeparator/>
      </w:r>
    </w:p>
  </w:footnote>
  <w:footnote w:type="continuationNotice" w:id="1">
    <w:p w:rsidR="00FB46C5" w:rsidRDefault="00FB46C5" w14:paraId="096111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2F2E" w:rsidR="00EA5F98" w:rsidP="000C50E2" w:rsidRDefault="00000000" w14:paraId="5CCEFDE3" w14:textId="6FD8427F">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BE2F2E" w:rsidR="00197663">
          <w:rPr>
            <w:rFonts w:asciiTheme="majorHAnsi" w:hAnsiTheme="majorHAnsi" w:eastAsiaTheme="majorEastAsia" w:cstheme="majorBidi"/>
            <w:color w:val="005742" w:themeColor="accent1" w:themeShade="BF"/>
            <w:sz w:val="22"/>
          </w:rPr>
          <w:t>ECT Programme Mentor Support Materials – Subject and curriculum            Elective self-study 4</w:t>
        </w:r>
      </w:sdtContent>
    </w:sdt>
    <w:r w:rsidRPr="00BE2F2E"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A3ACAF8A"/>
    <w:lvl w:ilvl="0" w:tplc="99F4CB9A">
      <w:start w:val="1"/>
      <w:numFmt w:val="upperLetter"/>
      <w:lvlText w:val="%1."/>
      <w:lvlJc w:val="left"/>
      <w:pPr>
        <w:ind w:left="360" w:hanging="360"/>
      </w:pPr>
      <w:rPr>
        <w:rFonts w:hint="default" w:ascii="Tahoma" w:hAnsi="Tahoma"/>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43B3278"/>
    <w:multiLevelType w:val="hybridMultilevel"/>
    <w:tmpl w:val="CC92A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6B5FC2"/>
    <w:multiLevelType w:val="hybridMultilevel"/>
    <w:tmpl w:val="AA9CC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E97B2A"/>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F67F4A"/>
    <w:multiLevelType w:val="hybridMultilevel"/>
    <w:tmpl w:val="04129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9B030E"/>
    <w:multiLevelType w:val="hybridMultilevel"/>
    <w:tmpl w:val="C5EA53F2"/>
    <w:lvl w:ilvl="0" w:tplc="08090001">
      <w:start w:val="1"/>
      <w:numFmt w:val="bullet"/>
      <w:lvlText w:val=""/>
      <w:lvlJc w:val="left"/>
      <w:pPr>
        <w:ind w:left="107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0B24EE7"/>
    <w:multiLevelType w:val="hybridMultilevel"/>
    <w:tmpl w:val="C42EA648"/>
    <w:lvl w:ilvl="0" w:tplc="1F38298A">
      <w:start w:val="1"/>
      <w:numFmt w:val="upperLetter"/>
      <w:lvlText w:val="%1."/>
      <w:lvlJc w:val="left"/>
      <w:pPr>
        <w:ind w:left="360" w:hanging="360"/>
      </w:pPr>
      <w:rPr>
        <w:rFonts w:hint="default" w:ascii="Tahoma" w:hAnsi="Tahoma"/>
        <w:b w:val="0"/>
        <w:bCs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CB213F"/>
    <w:multiLevelType w:val="hybridMultilevel"/>
    <w:tmpl w:val="3C38B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0" w15:restartNumberingAfterBreak="0">
    <w:nsid w:val="753D6CC8"/>
    <w:multiLevelType w:val="hybridMultilevel"/>
    <w:tmpl w:val="0E74D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2237B"/>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29"/>
  </w:num>
  <w:num w:numId="2" w16cid:durableId="490413365">
    <w:abstractNumId w:val="5"/>
  </w:num>
  <w:num w:numId="3" w16cid:durableId="1232236721">
    <w:abstractNumId w:val="32"/>
  </w:num>
  <w:num w:numId="4" w16cid:durableId="447622539">
    <w:abstractNumId w:val="27"/>
  </w:num>
  <w:num w:numId="5" w16cid:durableId="1443106785">
    <w:abstractNumId w:val="1"/>
  </w:num>
  <w:num w:numId="6" w16cid:durableId="69040460">
    <w:abstractNumId w:val="9"/>
  </w:num>
  <w:num w:numId="7" w16cid:durableId="1670135080">
    <w:abstractNumId w:val="23"/>
  </w:num>
  <w:num w:numId="8" w16cid:durableId="1957560362">
    <w:abstractNumId w:val="25"/>
  </w:num>
  <w:num w:numId="9" w16cid:durableId="1173296957">
    <w:abstractNumId w:val="8"/>
  </w:num>
  <w:num w:numId="10" w16cid:durableId="2080588095">
    <w:abstractNumId w:val="14"/>
  </w:num>
  <w:num w:numId="11" w16cid:durableId="1675650015">
    <w:abstractNumId w:val="12"/>
  </w:num>
  <w:num w:numId="12" w16cid:durableId="710806367">
    <w:abstractNumId w:val="33"/>
  </w:num>
  <w:num w:numId="13" w16cid:durableId="515461727">
    <w:abstractNumId w:val="18"/>
  </w:num>
  <w:num w:numId="14" w16cid:durableId="1284464454">
    <w:abstractNumId w:val="16"/>
  </w:num>
  <w:num w:numId="15" w16cid:durableId="831600096">
    <w:abstractNumId w:val="20"/>
  </w:num>
  <w:num w:numId="16" w16cid:durableId="1069956846">
    <w:abstractNumId w:val="7"/>
  </w:num>
  <w:num w:numId="17" w16cid:durableId="1354645620">
    <w:abstractNumId w:val="24"/>
  </w:num>
  <w:num w:numId="18" w16cid:durableId="532577083">
    <w:abstractNumId w:val="19"/>
  </w:num>
  <w:num w:numId="19" w16cid:durableId="1792673859">
    <w:abstractNumId w:val="6"/>
  </w:num>
  <w:num w:numId="20" w16cid:durableId="1050958847">
    <w:abstractNumId w:val="10"/>
  </w:num>
  <w:num w:numId="21" w16cid:durableId="14691822">
    <w:abstractNumId w:val="11"/>
  </w:num>
  <w:num w:numId="22" w16cid:durableId="1327780864">
    <w:abstractNumId w:val="26"/>
  </w:num>
  <w:num w:numId="23" w16cid:durableId="1442995871">
    <w:abstractNumId w:val="17"/>
  </w:num>
  <w:num w:numId="24" w16cid:durableId="2018653311">
    <w:abstractNumId w:val="4"/>
  </w:num>
  <w:num w:numId="25" w16cid:durableId="1751002627">
    <w:abstractNumId w:val="30"/>
  </w:num>
  <w:num w:numId="26" w16cid:durableId="1142966485">
    <w:abstractNumId w:val="15"/>
  </w:num>
  <w:num w:numId="27" w16cid:durableId="1458063285">
    <w:abstractNumId w:val="2"/>
  </w:num>
  <w:num w:numId="28" w16cid:durableId="1071998895">
    <w:abstractNumId w:val="28"/>
  </w:num>
  <w:num w:numId="29" w16cid:durableId="956372453">
    <w:abstractNumId w:val="3"/>
  </w:num>
  <w:num w:numId="30" w16cid:durableId="461927731">
    <w:abstractNumId w:val="5"/>
  </w:num>
  <w:num w:numId="31" w16cid:durableId="1100951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8355271">
    <w:abstractNumId w:val="13"/>
  </w:num>
  <w:num w:numId="33" w16cid:durableId="2085907408">
    <w:abstractNumId w:val="21"/>
  </w:num>
  <w:num w:numId="34" w16cid:durableId="960112982">
    <w:abstractNumId w:val="0"/>
  </w:num>
  <w:num w:numId="35" w16cid:durableId="525407160">
    <w:abstractNumId w:val="22"/>
  </w:num>
  <w:num w:numId="36" w16cid:durableId="127613427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209"/>
    <w:rsid w:val="00025920"/>
    <w:rsid w:val="00025F06"/>
    <w:rsid w:val="0002608C"/>
    <w:rsid w:val="000263C1"/>
    <w:rsid w:val="00026857"/>
    <w:rsid w:val="0002740C"/>
    <w:rsid w:val="0002758A"/>
    <w:rsid w:val="0003132B"/>
    <w:rsid w:val="00032BC4"/>
    <w:rsid w:val="00033512"/>
    <w:rsid w:val="00033B4B"/>
    <w:rsid w:val="00033EA2"/>
    <w:rsid w:val="00033ED3"/>
    <w:rsid w:val="000345A8"/>
    <w:rsid w:val="00034957"/>
    <w:rsid w:val="000350A7"/>
    <w:rsid w:val="00035282"/>
    <w:rsid w:val="000379C7"/>
    <w:rsid w:val="000408E6"/>
    <w:rsid w:val="0004157C"/>
    <w:rsid w:val="0004192E"/>
    <w:rsid w:val="000433D6"/>
    <w:rsid w:val="000436DA"/>
    <w:rsid w:val="00043B0D"/>
    <w:rsid w:val="00043B74"/>
    <w:rsid w:val="00043F1C"/>
    <w:rsid w:val="00045635"/>
    <w:rsid w:val="00046510"/>
    <w:rsid w:val="000465ED"/>
    <w:rsid w:val="00046963"/>
    <w:rsid w:val="00047648"/>
    <w:rsid w:val="0004783D"/>
    <w:rsid w:val="00047CE1"/>
    <w:rsid w:val="00050ED0"/>
    <w:rsid w:val="000522A4"/>
    <w:rsid w:val="00053199"/>
    <w:rsid w:val="00054256"/>
    <w:rsid w:val="00054721"/>
    <w:rsid w:val="00054818"/>
    <w:rsid w:val="00055472"/>
    <w:rsid w:val="00056C35"/>
    <w:rsid w:val="00056FD4"/>
    <w:rsid w:val="000574B7"/>
    <w:rsid w:val="0005764D"/>
    <w:rsid w:val="0006076D"/>
    <w:rsid w:val="000611C2"/>
    <w:rsid w:val="00063BAD"/>
    <w:rsid w:val="00067230"/>
    <w:rsid w:val="0007054B"/>
    <w:rsid w:val="000709BF"/>
    <w:rsid w:val="00072B00"/>
    <w:rsid w:val="00073231"/>
    <w:rsid w:val="000739DA"/>
    <w:rsid w:val="0007449A"/>
    <w:rsid w:val="00075724"/>
    <w:rsid w:val="000761F9"/>
    <w:rsid w:val="000762B6"/>
    <w:rsid w:val="00076757"/>
    <w:rsid w:val="00076FF0"/>
    <w:rsid w:val="000770CB"/>
    <w:rsid w:val="00080150"/>
    <w:rsid w:val="00082D7B"/>
    <w:rsid w:val="000832D3"/>
    <w:rsid w:val="00083DF6"/>
    <w:rsid w:val="00083E3A"/>
    <w:rsid w:val="0008400C"/>
    <w:rsid w:val="00084064"/>
    <w:rsid w:val="00086095"/>
    <w:rsid w:val="000866B1"/>
    <w:rsid w:val="000905F4"/>
    <w:rsid w:val="00090AF9"/>
    <w:rsid w:val="000925F5"/>
    <w:rsid w:val="000935D4"/>
    <w:rsid w:val="00093723"/>
    <w:rsid w:val="000948D5"/>
    <w:rsid w:val="00095CBC"/>
    <w:rsid w:val="00096589"/>
    <w:rsid w:val="000965E1"/>
    <w:rsid w:val="00096F83"/>
    <w:rsid w:val="00097300"/>
    <w:rsid w:val="0009788F"/>
    <w:rsid w:val="000A0067"/>
    <w:rsid w:val="000A110C"/>
    <w:rsid w:val="000A2B34"/>
    <w:rsid w:val="000A2C09"/>
    <w:rsid w:val="000A2E70"/>
    <w:rsid w:val="000A4A51"/>
    <w:rsid w:val="000A586D"/>
    <w:rsid w:val="000A669E"/>
    <w:rsid w:val="000A73C2"/>
    <w:rsid w:val="000A76A8"/>
    <w:rsid w:val="000A7A21"/>
    <w:rsid w:val="000B0268"/>
    <w:rsid w:val="000B1FB5"/>
    <w:rsid w:val="000B2C21"/>
    <w:rsid w:val="000B364C"/>
    <w:rsid w:val="000B3EBD"/>
    <w:rsid w:val="000B4BE2"/>
    <w:rsid w:val="000B504E"/>
    <w:rsid w:val="000B5388"/>
    <w:rsid w:val="000C013D"/>
    <w:rsid w:val="000C1617"/>
    <w:rsid w:val="000C33B6"/>
    <w:rsid w:val="000C37BB"/>
    <w:rsid w:val="000C3DF2"/>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0B97"/>
    <w:rsid w:val="00102CFB"/>
    <w:rsid w:val="0010401D"/>
    <w:rsid w:val="00104329"/>
    <w:rsid w:val="001043F4"/>
    <w:rsid w:val="00106936"/>
    <w:rsid w:val="00107FA3"/>
    <w:rsid w:val="00110ADD"/>
    <w:rsid w:val="00111083"/>
    <w:rsid w:val="00111F21"/>
    <w:rsid w:val="00112A81"/>
    <w:rsid w:val="00113A1B"/>
    <w:rsid w:val="001147D3"/>
    <w:rsid w:val="00115AA4"/>
    <w:rsid w:val="0011674A"/>
    <w:rsid w:val="0012069F"/>
    <w:rsid w:val="00120870"/>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47CCC"/>
    <w:rsid w:val="001514E4"/>
    <w:rsid w:val="001522A7"/>
    <w:rsid w:val="00152C99"/>
    <w:rsid w:val="00154409"/>
    <w:rsid w:val="00155433"/>
    <w:rsid w:val="00156E18"/>
    <w:rsid w:val="001570BC"/>
    <w:rsid w:val="001603B4"/>
    <w:rsid w:val="001606CB"/>
    <w:rsid w:val="00160D5F"/>
    <w:rsid w:val="0016185E"/>
    <w:rsid w:val="0016190D"/>
    <w:rsid w:val="00163979"/>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3C9E"/>
    <w:rsid w:val="00194433"/>
    <w:rsid w:val="00194A4E"/>
    <w:rsid w:val="00194ADF"/>
    <w:rsid w:val="00194FA5"/>
    <w:rsid w:val="00195939"/>
    <w:rsid w:val="00196E34"/>
    <w:rsid w:val="00197663"/>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4F52"/>
    <w:rsid w:val="001B5250"/>
    <w:rsid w:val="001B577C"/>
    <w:rsid w:val="001B5C46"/>
    <w:rsid w:val="001B5F7B"/>
    <w:rsid w:val="001B67D4"/>
    <w:rsid w:val="001C0297"/>
    <w:rsid w:val="001C1B32"/>
    <w:rsid w:val="001C232B"/>
    <w:rsid w:val="001C242E"/>
    <w:rsid w:val="001C2ED6"/>
    <w:rsid w:val="001C2F80"/>
    <w:rsid w:val="001C31D6"/>
    <w:rsid w:val="001C3ECF"/>
    <w:rsid w:val="001C40BE"/>
    <w:rsid w:val="001C4829"/>
    <w:rsid w:val="001C4E4D"/>
    <w:rsid w:val="001C684F"/>
    <w:rsid w:val="001C687F"/>
    <w:rsid w:val="001C73AC"/>
    <w:rsid w:val="001D084D"/>
    <w:rsid w:val="001D14A4"/>
    <w:rsid w:val="001D1793"/>
    <w:rsid w:val="001D18C5"/>
    <w:rsid w:val="001D1B3F"/>
    <w:rsid w:val="001D270D"/>
    <w:rsid w:val="001D569D"/>
    <w:rsid w:val="001D5A61"/>
    <w:rsid w:val="001D72E7"/>
    <w:rsid w:val="001D75BE"/>
    <w:rsid w:val="001D78E6"/>
    <w:rsid w:val="001D7B64"/>
    <w:rsid w:val="001D7ED7"/>
    <w:rsid w:val="001D7F8C"/>
    <w:rsid w:val="001E0EE9"/>
    <w:rsid w:val="001E1AA8"/>
    <w:rsid w:val="001E1AC7"/>
    <w:rsid w:val="001E2042"/>
    <w:rsid w:val="001E2AD2"/>
    <w:rsid w:val="001E2DBF"/>
    <w:rsid w:val="001E2FC5"/>
    <w:rsid w:val="001E4495"/>
    <w:rsid w:val="001E4A0B"/>
    <w:rsid w:val="001E566C"/>
    <w:rsid w:val="001E5AD4"/>
    <w:rsid w:val="001E677B"/>
    <w:rsid w:val="001E69D7"/>
    <w:rsid w:val="001E6EA4"/>
    <w:rsid w:val="001E74CD"/>
    <w:rsid w:val="001E7F7F"/>
    <w:rsid w:val="001F20E3"/>
    <w:rsid w:val="001F246C"/>
    <w:rsid w:val="001F2BF0"/>
    <w:rsid w:val="001F3183"/>
    <w:rsid w:val="001F34E2"/>
    <w:rsid w:val="001F352D"/>
    <w:rsid w:val="001F49E0"/>
    <w:rsid w:val="001F4B09"/>
    <w:rsid w:val="001F5286"/>
    <w:rsid w:val="001F53B3"/>
    <w:rsid w:val="001F5F39"/>
    <w:rsid w:val="001F7CEB"/>
    <w:rsid w:val="00201119"/>
    <w:rsid w:val="002031E7"/>
    <w:rsid w:val="002031EA"/>
    <w:rsid w:val="00204E78"/>
    <w:rsid w:val="00205869"/>
    <w:rsid w:val="00205AF5"/>
    <w:rsid w:val="00205BC4"/>
    <w:rsid w:val="0020681C"/>
    <w:rsid w:val="002071DE"/>
    <w:rsid w:val="00207AED"/>
    <w:rsid w:val="0021002E"/>
    <w:rsid w:val="00213A0F"/>
    <w:rsid w:val="00214166"/>
    <w:rsid w:val="002145BB"/>
    <w:rsid w:val="00223D63"/>
    <w:rsid w:val="00225774"/>
    <w:rsid w:val="00225986"/>
    <w:rsid w:val="00226971"/>
    <w:rsid w:val="00227226"/>
    <w:rsid w:val="0022749B"/>
    <w:rsid w:val="002301A7"/>
    <w:rsid w:val="00230D5B"/>
    <w:rsid w:val="00233215"/>
    <w:rsid w:val="002332DF"/>
    <w:rsid w:val="00234C9B"/>
    <w:rsid w:val="00234EA8"/>
    <w:rsid w:val="0023699B"/>
    <w:rsid w:val="00236E33"/>
    <w:rsid w:val="002379CF"/>
    <w:rsid w:val="00240233"/>
    <w:rsid w:val="002406D2"/>
    <w:rsid w:val="002411F8"/>
    <w:rsid w:val="00241BA2"/>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730"/>
    <w:rsid w:val="00262768"/>
    <w:rsid w:val="00262C6E"/>
    <w:rsid w:val="00263E39"/>
    <w:rsid w:val="0026485D"/>
    <w:rsid w:val="0026494C"/>
    <w:rsid w:val="00265956"/>
    <w:rsid w:val="00266964"/>
    <w:rsid w:val="002717F2"/>
    <w:rsid w:val="002730F7"/>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397"/>
    <w:rsid w:val="00294289"/>
    <w:rsid w:val="00294393"/>
    <w:rsid w:val="00294495"/>
    <w:rsid w:val="00294F9E"/>
    <w:rsid w:val="00295445"/>
    <w:rsid w:val="00295BA5"/>
    <w:rsid w:val="00297ABA"/>
    <w:rsid w:val="002A03B8"/>
    <w:rsid w:val="002A07F7"/>
    <w:rsid w:val="002A1B43"/>
    <w:rsid w:val="002A221A"/>
    <w:rsid w:val="002A276F"/>
    <w:rsid w:val="002A2D6A"/>
    <w:rsid w:val="002A38AE"/>
    <w:rsid w:val="002A5C78"/>
    <w:rsid w:val="002A5DB3"/>
    <w:rsid w:val="002A5F13"/>
    <w:rsid w:val="002A74D9"/>
    <w:rsid w:val="002A7E72"/>
    <w:rsid w:val="002B0B63"/>
    <w:rsid w:val="002B158D"/>
    <w:rsid w:val="002B196D"/>
    <w:rsid w:val="002B1FAE"/>
    <w:rsid w:val="002B3D33"/>
    <w:rsid w:val="002B3E1C"/>
    <w:rsid w:val="002B3F14"/>
    <w:rsid w:val="002B44C9"/>
    <w:rsid w:val="002B4C9A"/>
    <w:rsid w:val="002C1081"/>
    <w:rsid w:val="002C3925"/>
    <w:rsid w:val="002C43ED"/>
    <w:rsid w:val="002C5FCF"/>
    <w:rsid w:val="002C67AB"/>
    <w:rsid w:val="002D0AAD"/>
    <w:rsid w:val="002D0E20"/>
    <w:rsid w:val="002D3CD6"/>
    <w:rsid w:val="002D4035"/>
    <w:rsid w:val="002D42A5"/>
    <w:rsid w:val="002D4A60"/>
    <w:rsid w:val="002E1410"/>
    <w:rsid w:val="002E1CD7"/>
    <w:rsid w:val="002E1E77"/>
    <w:rsid w:val="002E3AAD"/>
    <w:rsid w:val="002E3AE9"/>
    <w:rsid w:val="002E4F5A"/>
    <w:rsid w:val="002F016F"/>
    <w:rsid w:val="002F06D1"/>
    <w:rsid w:val="002F16DD"/>
    <w:rsid w:val="002F1821"/>
    <w:rsid w:val="002F20CB"/>
    <w:rsid w:val="002F2343"/>
    <w:rsid w:val="002F258E"/>
    <w:rsid w:val="002F2D74"/>
    <w:rsid w:val="002F3159"/>
    <w:rsid w:val="002F4B03"/>
    <w:rsid w:val="002F620D"/>
    <w:rsid w:val="002F6CA1"/>
    <w:rsid w:val="002F7FC6"/>
    <w:rsid w:val="00303EDC"/>
    <w:rsid w:val="00304B04"/>
    <w:rsid w:val="00305605"/>
    <w:rsid w:val="00305AD8"/>
    <w:rsid w:val="00305B4D"/>
    <w:rsid w:val="00306807"/>
    <w:rsid w:val="00307266"/>
    <w:rsid w:val="0030776F"/>
    <w:rsid w:val="0031101B"/>
    <w:rsid w:val="00314592"/>
    <w:rsid w:val="003159FB"/>
    <w:rsid w:val="00320866"/>
    <w:rsid w:val="00321619"/>
    <w:rsid w:val="00323A3D"/>
    <w:rsid w:val="003246E0"/>
    <w:rsid w:val="00324FF6"/>
    <w:rsid w:val="003275DE"/>
    <w:rsid w:val="0033002E"/>
    <w:rsid w:val="003303C8"/>
    <w:rsid w:val="00331D20"/>
    <w:rsid w:val="00331DBA"/>
    <w:rsid w:val="00332AFD"/>
    <w:rsid w:val="00335182"/>
    <w:rsid w:val="00335CE2"/>
    <w:rsid w:val="003365C2"/>
    <w:rsid w:val="00337529"/>
    <w:rsid w:val="0034156D"/>
    <w:rsid w:val="0034215F"/>
    <w:rsid w:val="00343019"/>
    <w:rsid w:val="00343C10"/>
    <w:rsid w:val="00345739"/>
    <w:rsid w:val="0034573A"/>
    <w:rsid w:val="00345F1A"/>
    <w:rsid w:val="00350392"/>
    <w:rsid w:val="003508F2"/>
    <w:rsid w:val="0035156B"/>
    <w:rsid w:val="00351E8D"/>
    <w:rsid w:val="003527DE"/>
    <w:rsid w:val="00352A26"/>
    <w:rsid w:val="00353034"/>
    <w:rsid w:val="003537C7"/>
    <w:rsid w:val="00354FF4"/>
    <w:rsid w:val="003555BA"/>
    <w:rsid w:val="00357216"/>
    <w:rsid w:val="00357A13"/>
    <w:rsid w:val="0036149C"/>
    <w:rsid w:val="003628ED"/>
    <w:rsid w:val="0036596A"/>
    <w:rsid w:val="00367B88"/>
    <w:rsid w:val="00371887"/>
    <w:rsid w:val="00372344"/>
    <w:rsid w:val="00373BF1"/>
    <w:rsid w:val="0037456E"/>
    <w:rsid w:val="00375139"/>
    <w:rsid w:val="00375ACF"/>
    <w:rsid w:val="00375EFD"/>
    <w:rsid w:val="00377889"/>
    <w:rsid w:val="003778AB"/>
    <w:rsid w:val="00377EDF"/>
    <w:rsid w:val="00380694"/>
    <w:rsid w:val="00380BD3"/>
    <w:rsid w:val="003813DC"/>
    <w:rsid w:val="00382697"/>
    <w:rsid w:val="00384174"/>
    <w:rsid w:val="00384289"/>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F2"/>
    <w:rsid w:val="003A2392"/>
    <w:rsid w:val="003A33DA"/>
    <w:rsid w:val="003A344D"/>
    <w:rsid w:val="003A466C"/>
    <w:rsid w:val="003A514E"/>
    <w:rsid w:val="003A5D14"/>
    <w:rsid w:val="003A6070"/>
    <w:rsid w:val="003B1408"/>
    <w:rsid w:val="003B355A"/>
    <w:rsid w:val="003B4DA4"/>
    <w:rsid w:val="003B5370"/>
    <w:rsid w:val="003B5407"/>
    <w:rsid w:val="003B65A8"/>
    <w:rsid w:val="003B6A03"/>
    <w:rsid w:val="003B7C39"/>
    <w:rsid w:val="003B7C74"/>
    <w:rsid w:val="003C088D"/>
    <w:rsid w:val="003C4894"/>
    <w:rsid w:val="003C545D"/>
    <w:rsid w:val="003C678F"/>
    <w:rsid w:val="003C6A5E"/>
    <w:rsid w:val="003C6B84"/>
    <w:rsid w:val="003C7D91"/>
    <w:rsid w:val="003D1C13"/>
    <w:rsid w:val="003D201C"/>
    <w:rsid w:val="003D37E2"/>
    <w:rsid w:val="003D4877"/>
    <w:rsid w:val="003D5910"/>
    <w:rsid w:val="003D5920"/>
    <w:rsid w:val="003D6C9D"/>
    <w:rsid w:val="003D6F4E"/>
    <w:rsid w:val="003D75AA"/>
    <w:rsid w:val="003E0212"/>
    <w:rsid w:val="003E0E3C"/>
    <w:rsid w:val="003E101A"/>
    <w:rsid w:val="003E119E"/>
    <w:rsid w:val="003E1976"/>
    <w:rsid w:val="003E2AB1"/>
    <w:rsid w:val="003E3F62"/>
    <w:rsid w:val="003E4126"/>
    <w:rsid w:val="003E4444"/>
    <w:rsid w:val="003E4459"/>
    <w:rsid w:val="003E4F68"/>
    <w:rsid w:val="003E62FC"/>
    <w:rsid w:val="003E7364"/>
    <w:rsid w:val="003F075D"/>
    <w:rsid w:val="003F0CB2"/>
    <w:rsid w:val="003F1889"/>
    <w:rsid w:val="003F4792"/>
    <w:rsid w:val="003F512F"/>
    <w:rsid w:val="003F5E8F"/>
    <w:rsid w:val="003F6656"/>
    <w:rsid w:val="003F71E3"/>
    <w:rsid w:val="003F7B7F"/>
    <w:rsid w:val="00400AA2"/>
    <w:rsid w:val="00400F84"/>
    <w:rsid w:val="00401531"/>
    <w:rsid w:val="00401589"/>
    <w:rsid w:val="00403260"/>
    <w:rsid w:val="0040367D"/>
    <w:rsid w:val="004047FF"/>
    <w:rsid w:val="004053E5"/>
    <w:rsid w:val="004055CC"/>
    <w:rsid w:val="00406720"/>
    <w:rsid w:val="004103F5"/>
    <w:rsid w:val="0041064A"/>
    <w:rsid w:val="0041148D"/>
    <w:rsid w:val="00411C0C"/>
    <w:rsid w:val="004134F8"/>
    <w:rsid w:val="00413B02"/>
    <w:rsid w:val="00413E2F"/>
    <w:rsid w:val="00415D4D"/>
    <w:rsid w:val="00416977"/>
    <w:rsid w:val="00416C75"/>
    <w:rsid w:val="00417040"/>
    <w:rsid w:val="004204AE"/>
    <w:rsid w:val="00421EE4"/>
    <w:rsid w:val="00422D9B"/>
    <w:rsid w:val="00423395"/>
    <w:rsid w:val="004237CE"/>
    <w:rsid w:val="0042504C"/>
    <w:rsid w:val="00425DB8"/>
    <w:rsid w:val="0043412E"/>
    <w:rsid w:val="004343EB"/>
    <w:rsid w:val="00436005"/>
    <w:rsid w:val="00436034"/>
    <w:rsid w:val="00436120"/>
    <w:rsid w:val="00436188"/>
    <w:rsid w:val="004379DE"/>
    <w:rsid w:val="00437D58"/>
    <w:rsid w:val="0044001C"/>
    <w:rsid w:val="00440A45"/>
    <w:rsid w:val="00441AEF"/>
    <w:rsid w:val="004444F4"/>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511"/>
    <w:rsid w:val="00466B7D"/>
    <w:rsid w:val="004673A2"/>
    <w:rsid w:val="004673BF"/>
    <w:rsid w:val="00470876"/>
    <w:rsid w:val="00470D29"/>
    <w:rsid w:val="00470D91"/>
    <w:rsid w:val="004729EC"/>
    <w:rsid w:val="0047310C"/>
    <w:rsid w:val="004739ED"/>
    <w:rsid w:val="00473B53"/>
    <w:rsid w:val="00474026"/>
    <w:rsid w:val="00474697"/>
    <w:rsid w:val="00475D37"/>
    <w:rsid w:val="00476336"/>
    <w:rsid w:val="004765BF"/>
    <w:rsid w:val="00477CE4"/>
    <w:rsid w:val="00477F4B"/>
    <w:rsid w:val="00480204"/>
    <w:rsid w:val="004816BE"/>
    <w:rsid w:val="00483261"/>
    <w:rsid w:val="004843F4"/>
    <w:rsid w:val="004845CC"/>
    <w:rsid w:val="00484893"/>
    <w:rsid w:val="00484C71"/>
    <w:rsid w:val="004850E4"/>
    <w:rsid w:val="0048564D"/>
    <w:rsid w:val="00485D2B"/>
    <w:rsid w:val="00487128"/>
    <w:rsid w:val="00491E33"/>
    <w:rsid w:val="00493538"/>
    <w:rsid w:val="0049464B"/>
    <w:rsid w:val="0049473F"/>
    <w:rsid w:val="004967B2"/>
    <w:rsid w:val="004969EF"/>
    <w:rsid w:val="004A04C7"/>
    <w:rsid w:val="004A10BD"/>
    <w:rsid w:val="004A11FE"/>
    <w:rsid w:val="004A1950"/>
    <w:rsid w:val="004A2143"/>
    <w:rsid w:val="004A43EF"/>
    <w:rsid w:val="004A4492"/>
    <w:rsid w:val="004A5189"/>
    <w:rsid w:val="004A6833"/>
    <w:rsid w:val="004A7003"/>
    <w:rsid w:val="004A791F"/>
    <w:rsid w:val="004B0D7B"/>
    <w:rsid w:val="004B18C4"/>
    <w:rsid w:val="004B1DB5"/>
    <w:rsid w:val="004B2A93"/>
    <w:rsid w:val="004B435E"/>
    <w:rsid w:val="004B4F4A"/>
    <w:rsid w:val="004B677A"/>
    <w:rsid w:val="004B7200"/>
    <w:rsid w:val="004B79D6"/>
    <w:rsid w:val="004B7C5B"/>
    <w:rsid w:val="004C1A4E"/>
    <w:rsid w:val="004C1D5A"/>
    <w:rsid w:val="004C2862"/>
    <w:rsid w:val="004C36AA"/>
    <w:rsid w:val="004C3F26"/>
    <w:rsid w:val="004C454E"/>
    <w:rsid w:val="004C52DA"/>
    <w:rsid w:val="004C6A73"/>
    <w:rsid w:val="004C72E2"/>
    <w:rsid w:val="004C7731"/>
    <w:rsid w:val="004C7A58"/>
    <w:rsid w:val="004D0999"/>
    <w:rsid w:val="004D0DA7"/>
    <w:rsid w:val="004D1C28"/>
    <w:rsid w:val="004D2E4E"/>
    <w:rsid w:val="004D4089"/>
    <w:rsid w:val="004D5D58"/>
    <w:rsid w:val="004D5E9A"/>
    <w:rsid w:val="004E09A9"/>
    <w:rsid w:val="004E103F"/>
    <w:rsid w:val="004E1274"/>
    <w:rsid w:val="004E1FEE"/>
    <w:rsid w:val="004E2009"/>
    <w:rsid w:val="004E36B8"/>
    <w:rsid w:val="004E5366"/>
    <w:rsid w:val="004E5ED3"/>
    <w:rsid w:val="004F01F8"/>
    <w:rsid w:val="004F12FC"/>
    <w:rsid w:val="004F4778"/>
    <w:rsid w:val="004F5FB2"/>
    <w:rsid w:val="004F65FC"/>
    <w:rsid w:val="004F6CF0"/>
    <w:rsid w:val="004F7795"/>
    <w:rsid w:val="005008B1"/>
    <w:rsid w:val="00500A28"/>
    <w:rsid w:val="0050233F"/>
    <w:rsid w:val="00502838"/>
    <w:rsid w:val="00505186"/>
    <w:rsid w:val="00506A0D"/>
    <w:rsid w:val="005124A7"/>
    <w:rsid w:val="00512AC2"/>
    <w:rsid w:val="0051587F"/>
    <w:rsid w:val="00517A28"/>
    <w:rsid w:val="00520A49"/>
    <w:rsid w:val="00520E54"/>
    <w:rsid w:val="005221F8"/>
    <w:rsid w:val="00523440"/>
    <w:rsid w:val="00523822"/>
    <w:rsid w:val="00523D36"/>
    <w:rsid w:val="00525C2E"/>
    <w:rsid w:val="00526039"/>
    <w:rsid w:val="00527194"/>
    <w:rsid w:val="005303EF"/>
    <w:rsid w:val="00530E05"/>
    <w:rsid w:val="00530F21"/>
    <w:rsid w:val="00533473"/>
    <w:rsid w:val="00533546"/>
    <w:rsid w:val="005340E3"/>
    <w:rsid w:val="0053620E"/>
    <w:rsid w:val="005369C7"/>
    <w:rsid w:val="00536D4C"/>
    <w:rsid w:val="00537E4C"/>
    <w:rsid w:val="005419C0"/>
    <w:rsid w:val="005420EB"/>
    <w:rsid w:val="00542CC9"/>
    <w:rsid w:val="00543926"/>
    <w:rsid w:val="00543C50"/>
    <w:rsid w:val="00544080"/>
    <w:rsid w:val="00545CD2"/>
    <w:rsid w:val="0054683A"/>
    <w:rsid w:val="00547037"/>
    <w:rsid w:val="00547C79"/>
    <w:rsid w:val="005508DC"/>
    <w:rsid w:val="00551CF0"/>
    <w:rsid w:val="00552268"/>
    <w:rsid w:val="0055373C"/>
    <w:rsid w:val="00553E2D"/>
    <w:rsid w:val="005544B7"/>
    <w:rsid w:val="00554D7D"/>
    <w:rsid w:val="0055514D"/>
    <w:rsid w:val="0055632D"/>
    <w:rsid w:val="005570FD"/>
    <w:rsid w:val="005602B1"/>
    <w:rsid w:val="0056165C"/>
    <w:rsid w:val="00561CCC"/>
    <w:rsid w:val="00561DA5"/>
    <w:rsid w:val="0056599F"/>
    <w:rsid w:val="00565A60"/>
    <w:rsid w:val="005665B7"/>
    <w:rsid w:val="005677F8"/>
    <w:rsid w:val="005679DD"/>
    <w:rsid w:val="0057195D"/>
    <w:rsid w:val="005739A0"/>
    <w:rsid w:val="00574552"/>
    <w:rsid w:val="00574D17"/>
    <w:rsid w:val="00574FED"/>
    <w:rsid w:val="00577B33"/>
    <w:rsid w:val="00577B58"/>
    <w:rsid w:val="005820EC"/>
    <w:rsid w:val="00584225"/>
    <w:rsid w:val="00584879"/>
    <w:rsid w:val="00584FAB"/>
    <w:rsid w:val="005854E8"/>
    <w:rsid w:val="0058630F"/>
    <w:rsid w:val="00586728"/>
    <w:rsid w:val="00586E0F"/>
    <w:rsid w:val="00586ED0"/>
    <w:rsid w:val="00591D17"/>
    <w:rsid w:val="00594E18"/>
    <w:rsid w:val="005956F8"/>
    <w:rsid w:val="00595E20"/>
    <w:rsid w:val="005975C3"/>
    <w:rsid w:val="005A0B47"/>
    <w:rsid w:val="005A13BE"/>
    <w:rsid w:val="005A1A9C"/>
    <w:rsid w:val="005A5128"/>
    <w:rsid w:val="005A5795"/>
    <w:rsid w:val="005A712B"/>
    <w:rsid w:val="005A75E5"/>
    <w:rsid w:val="005A7C17"/>
    <w:rsid w:val="005A7C6D"/>
    <w:rsid w:val="005B066B"/>
    <w:rsid w:val="005B086C"/>
    <w:rsid w:val="005B0DB6"/>
    <w:rsid w:val="005B1FA1"/>
    <w:rsid w:val="005B1FAF"/>
    <w:rsid w:val="005B27A7"/>
    <w:rsid w:val="005B2A36"/>
    <w:rsid w:val="005B31C9"/>
    <w:rsid w:val="005B38D3"/>
    <w:rsid w:val="005B46C8"/>
    <w:rsid w:val="005B6284"/>
    <w:rsid w:val="005B6A48"/>
    <w:rsid w:val="005B6DA6"/>
    <w:rsid w:val="005C055F"/>
    <w:rsid w:val="005C07B0"/>
    <w:rsid w:val="005C0A2E"/>
    <w:rsid w:val="005C1F7D"/>
    <w:rsid w:val="005C2762"/>
    <w:rsid w:val="005C4372"/>
    <w:rsid w:val="005C4997"/>
    <w:rsid w:val="005C4CAA"/>
    <w:rsid w:val="005C59CF"/>
    <w:rsid w:val="005C6413"/>
    <w:rsid w:val="005C6C07"/>
    <w:rsid w:val="005D221B"/>
    <w:rsid w:val="005D791C"/>
    <w:rsid w:val="005D7E58"/>
    <w:rsid w:val="005E0000"/>
    <w:rsid w:val="005E101E"/>
    <w:rsid w:val="005E111A"/>
    <w:rsid w:val="005E141C"/>
    <w:rsid w:val="005E1857"/>
    <w:rsid w:val="005E195A"/>
    <w:rsid w:val="005E2120"/>
    <w:rsid w:val="005E29D9"/>
    <w:rsid w:val="005E38EA"/>
    <w:rsid w:val="005E3F94"/>
    <w:rsid w:val="005E4130"/>
    <w:rsid w:val="005E4926"/>
    <w:rsid w:val="005E4B36"/>
    <w:rsid w:val="005E5990"/>
    <w:rsid w:val="005E5DE1"/>
    <w:rsid w:val="005E60E9"/>
    <w:rsid w:val="005E64C4"/>
    <w:rsid w:val="005E71A7"/>
    <w:rsid w:val="005F03D0"/>
    <w:rsid w:val="005F088B"/>
    <w:rsid w:val="005F301D"/>
    <w:rsid w:val="005F36A8"/>
    <w:rsid w:val="005F3E23"/>
    <w:rsid w:val="005F4333"/>
    <w:rsid w:val="005F49AD"/>
    <w:rsid w:val="005F637D"/>
    <w:rsid w:val="005F66E3"/>
    <w:rsid w:val="006006B9"/>
    <w:rsid w:val="006006CD"/>
    <w:rsid w:val="00600C9A"/>
    <w:rsid w:val="006016F6"/>
    <w:rsid w:val="00601AE1"/>
    <w:rsid w:val="00602601"/>
    <w:rsid w:val="00602665"/>
    <w:rsid w:val="00603C75"/>
    <w:rsid w:val="00606037"/>
    <w:rsid w:val="00607B1D"/>
    <w:rsid w:val="0061084D"/>
    <w:rsid w:val="0061087F"/>
    <w:rsid w:val="0061159B"/>
    <w:rsid w:val="006123F7"/>
    <w:rsid w:val="006128C1"/>
    <w:rsid w:val="006134AB"/>
    <w:rsid w:val="00614E53"/>
    <w:rsid w:val="0061531D"/>
    <w:rsid w:val="006169FB"/>
    <w:rsid w:val="006173EA"/>
    <w:rsid w:val="0061742A"/>
    <w:rsid w:val="00622B18"/>
    <w:rsid w:val="00623161"/>
    <w:rsid w:val="00623480"/>
    <w:rsid w:val="00623DE0"/>
    <w:rsid w:val="0062646C"/>
    <w:rsid w:val="0062649B"/>
    <w:rsid w:val="006318D4"/>
    <w:rsid w:val="0063270F"/>
    <w:rsid w:val="00632776"/>
    <w:rsid w:val="0063440E"/>
    <w:rsid w:val="00635808"/>
    <w:rsid w:val="00637E83"/>
    <w:rsid w:val="00640524"/>
    <w:rsid w:val="00640CB5"/>
    <w:rsid w:val="00641685"/>
    <w:rsid w:val="00641DBB"/>
    <w:rsid w:val="006423B9"/>
    <w:rsid w:val="00642F2F"/>
    <w:rsid w:val="00645741"/>
    <w:rsid w:val="00646348"/>
    <w:rsid w:val="00646655"/>
    <w:rsid w:val="00650D08"/>
    <w:rsid w:val="00651814"/>
    <w:rsid w:val="00654230"/>
    <w:rsid w:val="006555CC"/>
    <w:rsid w:val="0065594C"/>
    <w:rsid w:val="00656604"/>
    <w:rsid w:val="0065684F"/>
    <w:rsid w:val="0065721C"/>
    <w:rsid w:val="00660043"/>
    <w:rsid w:val="00660639"/>
    <w:rsid w:val="006613CA"/>
    <w:rsid w:val="006625D6"/>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08D"/>
    <w:rsid w:val="00681148"/>
    <w:rsid w:val="00681B4A"/>
    <w:rsid w:val="00681F87"/>
    <w:rsid w:val="00682D37"/>
    <w:rsid w:val="00683809"/>
    <w:rsid w:val="00683AC8"/>
    <w:rsid w:val="00683C8B"/>
    <w:rsid w:val="00685F8D"/>
    <w:rsid w:val="006862B3"/>
    <w:rsid w:val="006874D8"/>
    <w:rsid w:val="00690602"/>
    <w:rsid w:val="006908A1"/>
    <w:rsid w:val="006914EE"/>
    <w:rsid w:val="00691EC4"/>
    <w:rsid w:val="00692738"/>
    <w:rsid w:val="006929F6"/>
    <w:rsid w:val="006949F8"/>
    <w:rsid w:val="0069691C"/>
    <w:rsid w:val="0069721B"/>
    <w:rsid w:val="00697698"/>
    <w:rsid w:val="00697DC3"/>
    <w:rsid w:val="006A1389"/>
    <w:rsid w:val="006A1E94"/>
    <w:rsid w:val="006A2E3F"/>
    <w:rsid w:val="006A460D"/>
    <w:rsid w:val="006A4B41"/>
    <w:rsid w:val="006A505C"/>
    <w:rsid w:val="006A5214"/>
    <w:rsid w:val="006A74B5"/>
    <w:rsid w:val="006A756E"/>
    <w:rsid w:val="006B3DA7"/>
    <w:rsid w:val="006B5208"/>
    <w:rsid w:val="006B617E"/>
    <w:rsid w:val="006B695B"/>
    <w:rsid w:val="006B74AF"/>
    <w:rsid w:val="006C0377"/>
    <w:rsid w:val="006C095A"/>
    <w:rsid w:val="006C2258"/>
    <w:rsid w:val="006C2AF5"/>
    <w:rsid w:val="006C2D83"/>
    <w:rsid w:val="006C2E19"/>
    <w:rsid w:val="006C4E6D"/>
    <w:rsid w:val="006C6011"/>
    <w:rsid w:val="006C63E4"/>
    <w:rsid w:val="006C7A31"/>
    <w:rsid w:val="006C7CD2"/>
    <w:rsid w:val="006D0152"/>
    <w:rsid w:val="006D3169"/>
    <w:rsid w:val="006D3915"/>
    <w:rsid w:val="006D43E9"/>
    <w:rsid w:val="006D4D23"/>
    <w:rsid w:val="006D57CF"/>
    <w:rsid w:val="006D687D"/>
    <w:rsid w:val="006D7B46"/>
    <w:rsid w:val="006D7C7A"/>
    <w:rsid w:val="006E0913"/>
    <w:rsid w:val="006E1166"/>
    <w:rsid w:val="006E1929"/>
    <w:rsid w:val="006E2185"/>
    <w:rsid w:val="006E28FB"/>
    <w:rsid w:val="006E2C6A"/>
    <w:rsid w:val="006E2DB0"/>
    <w:rsid w:val="006E31AB"/>
    <w:rsid w:val="006E3471"/>
    <w:rsid w:val="006E4941"/>
    <w:rsid w:val="006E5544"/>
    <w:rsid w:val="006E6CED"/>
    <w:rsid w:val="006E6F8A"/>
    <w:rsid w:val="006E7235"/>
    <w:rsid w:val="006F1D89"/>
    <w:rsid w:val="006F1E2D"/>
    <w:rsid w:val="006F3323"/>
    <w:rsid w:val="006F342B"/>
    <w:rsid w:val="006F3912"/>
    <w:rsid w:val="006F432A"/>
    <w:rsid w:val="006F4B0E"/>
    <w:rsid w:val="006F6A4F"/>
    <w:rsid w:val="006F725D"/>
    <w:rsid w:val="006F73FC"/>
    <w:rsid w:val="00701BCC"/>
    <w:rsid w:val="00701BF3"/>
    <w:rsid w:val="007052D9"/>
    <w:rsid w:val="00706549"/>
    <w:rsid w:val="00710012"/>
    <w:rsid w:val="00712820"/>
    <w:rsid w:val="007130CA"/>
    <w:rsid w:val="0071380A"/>
    <w:rsid w:val="00714FD5"/>
    <w:rsid w:val="007158AE"/>
    <w:rsid w:val="00715DCC"/>
    <w:rsid w:val="0071606A"/>
    <w:rsid w:val="0072050B"/>
    <w:rsid w:val="00720A2B"/>
    <w:rsid w:val="0072150D"/>
    <w:rsid w:val="00721D7F"/>
    <w:rsid w:val="00721E6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529B"/>
    <w:rsid w:val="00735944"/>
    <w:rsid w:val="00737A28"/>
    <w:rsid w:val="007402AD"/>
    <w:rsid w:val="007409DC"/>
    <w:rsid w:val="007412C0"/>
    <w:rsid w:val="00742F56"/>
    <w:rsid w:val="007438D2"/>
    <w:rsid w:val="00743971"/>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3A4C"/>
    <w:rsid w:val="00773EC0"/>
    <w:rsid w:val="00774248"/>
    <w:rsid w:val="0077484A"/>
    <w:rsid w:val="00774F4F"/>
    <w:rsid w:val="007759AD"/>
    <w:rsid w:val="0078002D"/>
    <w:rsid w:val="007803BF"/>
    <w:rsid w:val="00780A81"/>
    <w:rsid w:val="007816F8"/>
    <w:rsid w:val="00781954"/>
    <w:rsid w:val="007827F2"/>
    <w:rsid w:val="00782B3E"/>
    <w:rsid w:val="00787488"/>
    <w:rsid w:val="00791295"/>
    <w:rsid w:val="007913F8"/>
    <w:rsid w:val="00792DD6"/>
    <w:rsid w:val="007931BF"/>
    <w:rsid w:val="007939FA"/>
    <w:rsid w:val="00794B12"/>
    <w:rsid w:val="0079594F"/>
    <w:rsid w:val="00796245"/>
    <w:rsid w:val="007975AF"/>
    <w:rsid w:val="00797755"/>
    <w:rsid w:val="007A1821"/>
    <w:rsid w:val="007A1B2D"/>
    <w:rsid w:val="007A20BB"/>
    <w:rsid w:val="007A316F"/>
    <w:rsid w:val="007A34F4"/>
    <w:rsid w:val="007A387C"/>
    <w:rsid w:val="007A3E9E"/>
    <w:rsid w:val="007A5289"/>
    <w:rsid w:val="007A567F"/>
    <w:rsid w:val="007A6253"/>
    <w:rsid w:val="007A64D8"/>
    <w:rsid w:val="007A6969"/>
    <w:rsid w:val="007A7C0E"/>
    <w:rsid w:val="007B1196"/>
    <w:rsid w:val="007B4312"/>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6DD5"/>
    <w:rsid w:val="007C7587"/>
    <w:rsid w:val="007C7EAD"/>
    <w:rsid w:val="007D0327"/>
    <w:rsid w:val="007D04BE"/>
    <w:rsid w:val="007D0C64"/>
    <w:rsid w:val="007D2628"/>
    <w:rsid w:val="007D42E4"/>
    <w:rsid w:val="007D7DBF"/>
    <w:rsid w:val="007E17F7"/>
    <w:rsid w:val="007E33CF"/>
    <w:rsid w:val="007E3E1A"/>
    <w:rsid w:val="007E6675"/>
    <w:rsid w:val="007E7301"/>
    <w:rsid w:val="007F0B7D"/>
    <w:rsid w:val="007F1F98"/>
    <w:rsid w:val="007F3B4B"/>
    <w:rsid w:val="007F474B"/>
    <w:rsid w:val="007F4FC9"/>
    <w:rsid w:val="007F52E0"/>
    <w:rsid w:val="007F54AE"/>
    <w:rsid w:val="007F5A87"/>
    <w:rsid w:val="00804732"/>
    <w:rsid w:val="0080482C"/>
    <w:rsid w:val="00804C79"/>
    <w:rsid w:val="00804F1B"/>
    <w:rsid w:val="0080550B"/>
    <w:rsid w:val="00806611"/>
    <w:rsid w:val="00806738"/>
    <w:rsid w:val="008126E7"/>
    <w:rsid w:val="008132FC"/>
    <w:rsid w:val="00813901"/>
    <w:rsid w:val="00814333"/>
    <w:rsid w:val="0081575F"/>
    <w:rsid w:val="00815F55"/>
    <w:rsid w:val="0081653C"/>
    <w:rsid w:val="008178C2"/>
    <w:rsid w:val="00822B83"/>
    <w:rsid w:val="00823E59"/>
    <w:rsid w:val="008249CA"/>
    <w:rsid w:val="00824C71"/>
    <w:rsid w:val="00825CA3"/>
    <w:rsid w:val="00826693"/>
    <w:rsid w:val="008277CB"/>
    <w:rsid w:val="00830B67"/>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6D2"/>
    <w:rsid w:val="00856950"/>
    <w:rsid w:val="008570BA"/>
    <w:rsid w:val="00860F7C"/>
    <w:rsid w:val="008616C1"/>
    <w:rsid w:val="008622F8"/>
    <w:rsid w:val="00863189"/>
    <w:rsid w:val="00863229"/>
    <w:rsid w:val="00863D6D"/>
    <w:rsid w:val="00863EB4"/>
    <w:rsid w:val="00864270"/>
    <w:rsid w:val="008646E9"/>
    <w:rsid w:val="00867DF5"/>
    <w:rsid w:val="00874167"/>
    <w:rsid w:val="008755C0"/>
    <w:rsid w:val="00875889"/>
    <w:rsid w:val="00876578"/>
    <w:rsid w:val="00877BA7"/>
    <w:rsid w:val="0088138D"/>
    <w:rsid w:val="00881A06"/>
    <w:rsid w:val="00881FEC"/>
    <w:rsid w:val="00882BBA"/>
    <w:rsid w:val="0088305D"/>
    <w:rsid w:val="00883B63"/>
    <w:rsid w:val="00883DCA"/>
    <w:rsid w:val="00884807"/>
    <w:rsid w:val="00890CBF"/>
    <w:rsid w:val="00891032"/>
    <w:rsid w:val="00891C0C"/>
    <w:rsid w:val="00892C52"/>
    <w:rsid w:val="0089370C"/>
    <w:rsid w:val="00893F43"/>
    <w:rsid w:val="00894B3F"/>
    <w:rsid w:val="0089629C"/>
    <w:rsid w:val="0089639B"/>
    <w:rsid w:val="00896C06"/>
    <w:rsid w:val="008974EC"/>
    <w:rsid w:val="008A0135"/>
    <w:rsid w:val="008A1758"/>
    <w:rsid w:val="008A20CB"/>
    <w:rsid w:val="008A2867"/>
    <w:rsid w:val="008A3656"/>
    <w:rsid w:val="008A3BAC"/>
    <w:rsid w:val="008A56C7"/>
    <w:rsid w:val="008A5D96"/>
    <w:rsid w:val="008A7C45"/>
    <w:rsid w:val="008B0890"/>
    <w:rsid w:val="008B113D"/>
    <w:rsid w:val="008B13B2"/>
    <w:rsid w:val="008B251D"/>
    <w:rsid w:val="008B2A8F"/>
    <w:rsid w:val="008B3B1B"/>
    <w:rsid w:val="008B3EAE"/>
    <w:rsid w:val="008B438D"/>
    <w:rsid w:val="008B4898"/>
    <w:rsid w:val="008B4C61"/>
    <w:rsid w:val="008B522D"/>
    <w:rsid w:val="008B686F"/>
    <w:rsid w:val="008B6F7A"/>
    <w:rsid w:val="008B73FD"/>
    <w:rsid w:val="008B7CA2"/>
    <w:rsid w:val="008B7E37"/>
    <w:rsid w:val="008C058E"/>
    <w:rsid w:val="008C1E1B"/>
    <w:rsid w:val="008C1F9C"/>
    <w:rsid w:val="008C2486"/>
    <w:rsid w:val="008C2F29"/>
    <w:rsid w:val="008C4569"/>
    <w:rsid w:val="008C4970"/>
    <w:rsid w:val="008C55B8"/>
    <w:rsid w:val="008C6505"/>
    <w:rsid w:val="008C6534"/>
    <w:rsid w:val="008D12B1"/>
    <w:rsid w:val="008D16F9"/>
    <w:rsid w:val="008D33EE"/>
    <w:rsid w:val="008D39EC"/>
    <w:rsid w:val="008D7369"/>
    <w:rsid w:val="008E0A98"/>
    <w:rsid w:val="008E2902"/>
    <w:rsid w:val="008E2C02"/>
    <w:rsid w:val="008E2DDD"/>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953"/>
    <w:rsid w:val="008F4639"/>
    <w:rsid w:val="008F4F40"/>
    <w:rsid w:val="008F528E"/>
    <w:rsid w:val="008F6BAE"/>
    <w:rsid w:val="008F6DD4"/>
    <w:rsid w:val="008F7A18"/>
    <w:rsid w:val="009018D8"/>
    <w:rsid w:val="00901EF4"/>
    <w:rsid w:val="00902352"/>
    <w:rsid w:val="00902575"/>
    <w:rsid w:val="00902E58"/>
    <w:rsid w:val="0090328F"/>
    <w:rsid w:val="0090409C"/>
    <w:rsid w:val="00904E05"/>
    <w:rsid w:val="00905635"/>
    <w:rsid w:val="0090564E"/>
    <w:rsid w:val="00905888"/>
    <w:rsid w:val="00906056"/>
    <w:rsid w:val="0090656A"/>
    <w:rsid w:val="0091022B"/>
    <w:rsid w:val="009107CE"/>
    <w:rsid w:val="0091138F"/>
    <w:rsid w:val="009113CD"/>
    <w:rsid w:val="00912D88"/>
    <w:rsid w:val="00913D2B"/>
    <w:rsid w:val="00914317"/>
    <w:rsid w:val="00914C18"/>
    <w:rsid w:val="009154FE"/>
    <w:rsid w:val="00917FE1"/>
    <w:rsid w:val="0092057F"/>
    <w:rsid w:val="00921E93"/>
    <w:rsid w:val="009224BC"/>
    <w:rsid w:val="009227CE"/>
    <w:rsid w:val="00924C70"/>
    <w:rsid w:val="00925876"/>
    <w:rsid w:val="00926462"/>
    <w:rsid w:val="00927BD0"/>
    <w:rsid w:val="00931F29"/>
    <w:rsid w:val="0093293B"/>
    <w:rsid w:val="00933253"/>
    <w:rsid w:val="00933A5C"/>
    <w:rsid w:val="009350A5"/>
    <w:rsid w:val="00935115"/>
    <w:rsid w:val="00935D9D"/>
    <w:rsid w:val="00936477"/>
    <w:rsid w:val="0094034C"/>
    <w:rsid w:val="00940FBD"/>
    <w:rsid w:val="0094163D"/>
    <w:rsid w:val="00943B80"/>
    <w:rsid w:val="009444B2"/>
    <w:rsid w:val="009466A5"/>
    <w:rsid w:val="00946FC9"/>
    <w:rsid w:val="009528A7"/>
    <w:rsid w:val="009536E2"/>
    <w:rsid w:val="009542B5"/>
    <w:rsid w:val="0095453A"/>
    <w:rsid w:val="009556C4"/>
    <w:rsid w:val="00956810"/>
    <w:rsid w:val="00956AE8"/>
    <w:rsid w:val="009570CE"/>
    <w:rsid w:val="0096017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6AD"/>
    <w:rsid w:val="009757B1"/>
    <w:rsid w:val="00976270"/>
    <w:rsid w:val="0097628E"/>
    <w:rsid w:val="009772E5"/>
    <w:rsid w:val="00977CC8"/>
    <w:rsid w:val="00982674"/>
    <w:rsid w:val="00982C06"/>
    <w:rsid w:val="00982CD0"/>
    <w:rsid w:val="00982D52"/>
    <w:rsid w:val="00982FA6"/>
    <w:rsid w:val="00983605"/>
    <w:rsid w:val="0098377F"/>
    <w:rsid w:val="0098403B"/>
    <w:rsid w:val="00984B2F"/>
    <w:rsid w:val="00986435"/>
    <w:rsid w:val="00987774"/>
    <w:rsid w:val="00987E4B"/>
    <w:rsid w:val="00990DED"/>
    <w:rsid w:val="00990DFB"/>
    <w:rsid w:val="009918E1"/>
    <w:rsid w:val="00992AEF"/>
    <w:rsid w:val="00993784"/>
    <w:rsid w:val="00993885"/>
    <w:rsid w:val="0099463E"/>
    <w:rsid w:val="00994E06"/>
    <w:rsid w:val="00996FD2"/>
    <w:rsid w:val="009976BD"/>
    <w:rsid w:val="0099798A"/>
    <w:rsid w:val="009A00C7"/>
    <w:rsid w:val="009A02BC"/>
    <w:rsid w:val="009A02EC"/>
    <w:rsid w:val="009A10B8"/>
    <w:rsid w:val="009A21A4"/>
    <w:rsid w:val="009A2C67"/>
    <w:rsid w:val="009A5158"/>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0B29"/>
    <w:rsid w:val="009D5B7F"/>
    <w:rsid w:val="009D7A89"/>
    <w:rsid w:val="009E0C44"/>
    <w:rsid w:val="009E25F3"/>
    <w:rsid w:val="009E325C"/>
    <w:rsid w:val="009E371F"/>
    <w:rsid w:val="009E4A09"/>
    <w:rsid w:val="009E5F1B"/>
    <w:rsid w:val="009E7AFE"/>
    <w:rsid w:val="009F19BC"/>
    <w:rsid w:val="009F1A24"/>
    <w:rsid w:val="009F2346"/>
    <w:rsid w:val="009F496A"/>
    <w:rsid w:val="009F4F76"/>
    <w:rsid w:val="009F6951"/>
    <w:rsid w:val="009F76F5"/>
    <w:rsid w:val="00A0024E"/>
    <w:rsid w:val="00A00D99"/>
    <w:rsid w:val="00A02242"/>
    <w:rsid w:val="00A02C1B"/>
    <w:rsid w:val="00A02FB6"/>
    <w:rsid w:val="00A04318"/>
    <w:rsid w:val="00A04927"/>
    <w:rsid w:val="00A07259"/>
    <w:rsid w:val="00A07E7B"/>
    <w:rsid w:val="00A10048"/>
    <w:rsid w:val="00A10C55"/>
    <w:rsid w:val="00A12651"/>
    <w:rsid w:val="00A12F6F"/>
    <w:rsid w:val="00A1385E"/>
    <w:rsid w:val="00A139C4"/>
    <w:rsid w:val="00A149BA"/>
    <w:rsid w:val="00A14CA9"/>
    <w:rsid w:val="00A166FB"/>
    <w:rsid w:val="00A2095C"/>
    <w:rsid w:val="00A21A63"/>
    <w:rsid w:val="00A21BBD"/>
    <w:rsid w:val="00A221B9"/>
    <w:rsid w:val="00A22930"/>
    <w:rsid w:val="00A2321B"/>
    <w:rsid w:val="00A23743"/>
    <w:rsid w:val="00A24483"/>
    <w:rsid w:val="00A244E7"/>
    <w:rsid w:val="00A24AD4"/>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76BF"/>
    <w:rsid w:val="00A5009E"/>
    <w:rsid w:val="00A50A6B"/>
    <w:rsid w:val="00A515F1"/>
    <w:rsid w:val="00A51CAE"/>
    <w:rsid w:val="00A5207E"/>
    <w:rsid w:val="00A525AA"/>
    <w:rsid w:val="00A525ED"/>
    <w:rsid w:val="00A52D65"/>
    <w:rsid w:val="00A53857"/>
    <w:rsid w:val="00A54767"/>
    <w:rsid w:val="00A5580F"/>
    <w:rsid w:val="00A61842"/>
    <w:rsid w:val="00A62354"/>
    <w:rsid w:val="00A645B0"/>
    <w:rsid w:val="00A65502"/>
    <w:rsid w:val="00A66A76"/>
    <w:rsid w:val="00A678ED"/>
    <w:rsid w:val="00A707A7"/>
    <w:rsid w:val="00A711DB"/>
    <w:rsid w:val="00A71904"/>
    <w:rsid w:val="00A7329B"/>
    <w:rsid w:val="00A74311"/>
    <w:rsid w:val="00A75502"/>
    <w:rsid w:val="00A77B23"/>
    <w:rsid w:val="00A77F9A"/>
    <w:rsid w:val="00A80707"/>
    <w:rsid w:val="00A830DE"/>
    <w:rsid w:val="00A8487F"/>
    <w:rsid w:val="00A848BD"/>
    <w:rsid w:val="00A84D34"/>
    <w:rsid w:val="00A85506"/>
    <w:rsid w:val="00A8613D"/>
    <w:rsid w:val="00A87374"/>
    <w:rsid w:val="00A903C9"/>
    <w:rsid w:val="00A909DE"/>
    <w:rsid w:val="00A91ADB"/>
    <w:rsid w:val="00A91DE8"/>
    <w:rsid w:val="00A92BEF"/>
    <w:rsid w:val="00A92BF2"/>
    <w:rsid w:val="00A93FA0"/>
    <w:rsid w:val="00A9554D"/>
    <w:rsid w:val="00A95751"/>
    <w:rsid w:val="00A95969"/>
    <w:rsid w:val="00A96735"/>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0B8"/>
    <w:rsid w:val="00AC2514"/>
    <w:rsid w:val="00AC3238"/>
    <w:rsid w:val="00AC4A40"/>
    <w:rsid w:val="00AD2C3F"/>
    <w:rsid w:val="00AD30E7"/>
    <w:rsid w:val="00AD3F31"/>
    <w:rsid w:val="00AD61BD"/>
    <w:rsid w:val="00AD6E1F"/>
    <w:rsid w:val="00AD752B"/>
    <w:rsid w:val="00AE0169"/>
    <w:rsid w:val="00AE2058"/>
    <w:rsid w:val="00AE30AB"/>
    <w:rsid w:val="00AE4353"/>
    <w:rsid w:val="00AE51A1"/>
    <w:rsid w:val="00AE6F21"/>
    <w:rsid w:val="00AE7259"/>
    <w:rsid w:val="00AF02FA"/>
    <w:rsid w:val="00AF0D2D"/>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1ECB"/>
    <w:rsid w:val="00B43A2B"/>
    <w:rsid w:val="00B44281"/>
    <w:rsid w:val="00B4448D"/>
    <w:rsid w:val="00B4474D"/>
    <w:rsid w:val="00B45038"/>
    <w:rsid w:val="00B4529F"/>
    <w:rsid w:val="00B45673"/>
    <w:rsid w:val="00B46E06"/>
    <w:rsid w:val="00B47172"/>
    <w:rsid w:val="00B50285"/>
    <w:rsid w:val="00B504BC"/>
    <w:rsid w:val="00B5162B"/>
    <w:rsid w:val="00B537EE"/>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6F66"/>
    <w:rsid w:val="00B80156"/>
    <w:rsid w:val="00B80324"/>
    <w:rsid w:val="00B8100C"/>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8F1"/>
    <w:rsid w:val="00B94A09"/>
    <w:rsid w:val="00B951A5"/>
    <w:rsid w:val="00B96012"/>
    <w:rsid w:val="00BA0A38"/>
    <w:rsid w:val="00BA3112"/>
    <w:rsid w:val="00BA3A6B"/>
    <w:rsid w:val="00BA63B6"/>
    <w:rsid w:val="00BA72B9"/>
    <w:rsid w:val="00BB17C5"/>
    <w:rsid w:val="00BB1DAD"/>
    <w:rsid w:val="00BB1EAA"/>
    <w:rsid w:val="00BB3705"/>
    <w:rsid w:val="00BB386E"/>
    <w:rsid w:val="00BB55E0"/>
    <w:rsid w:val="00BB5C96"/>
    <w:rsid w:val="00BB6A9D"/>
    <w:rsid w:val="00BB743F"/>
    <w:rsid w:val="00BC1448"/>
    <w:rsid w:val="00BC1C59"/>
    <w:rsid w:val="00BC2ED5"/>
    <w:rsid w:val="00BC36B3"/>
    <w:rsid w:val="00BC36E5"/>
    <w:rsid w:val="00BC53EE"/>
    <w:rsid w:val="00BC5A7D"/>
    <w:rsid w:val="00BC6443"/>
    <w:rsid w:val="00BC66EC"/>
    <w:rsid w:val="00BC79BD"/>
    <w:rsid w:val="00BD1363"/>
    <w:rsid w:val="00BD2DAD"/>
    <w:rsid w:val="00BD39C7"/>
    <w:rsid w:val="00BD3C58"/>
    <w:rsid w:val="00BD4243"/>
    <w:rsid w:val="00BD42C3"/>
    <w:rsid w:val="00BD4B7E"/>
    <w:rsid w:val="00BD4C75"/>
    <w:rsid w:val="00BD69BC"/>
    <w:rsid w:val="00BD7393"/>
    <w:rsid w:val="00BE1380"/>
    <w:rsid w:val="00BE13DC"/>
    <w:rsid w:val="00BE1A03"/>
    <w:rsid w:val="00BE1A46"/>
    <w:rsid w:val="00BE1B74"/>
    <w:rsid w:val="00BE1B9C"/>
    <w:rsid w:val="00BE20F3"/>
    <w:rsid w:val="00BE2F2E"/>
    <w:rsid w:val="00BE3AB7"/>
    <w:rsid w:val="00BE3BB6"/>
    <w:rsid w:val="00BE3FE5"/>
    <w:rsid w:val="00BE7873"/>
    <w:rsid w:val="00BF0662"/>
    <w:rsid w:val="00BF1640"/>
    <w:rsid w:val="00BF20DB"/>
    <w:rsid w:val="00BF210D"/>
    <w:rsid w:val="00BF280A"/>
    <w:rsid w:val="00BF287F"/>
    <w:rsid w:val="00BF3367"/>
    <w:rsid w:val="00BF4AB2"/>
    <w:rsid w:val="00BF5DFC"/>
    <w:rsid w:val="00BF62E6"/>
    <w:rsid w:val="00BF69B7"/>
    <w:rsid w:val="00BF77FC"/>
    <w:rsid w:val="00BF7E92"/>
    <w:rsid w:val="00C00928"/>
    <w:rsid w:val="00C016B7"/>
    <w:rsid w:val="00C0188B"/>
    <w:rsid w:val="00C0368D"/>
    <w:rsid w:val="00C03BC5"/>
    <w:rsid w:val="00C040C5"/>
    <w:rsid w:val="00C04146"/>
    <w:rsid w:val="00C0496D"/>
    <w:rsid w:val="00C04B52"/>
    <w:rsid w:val="00C103A4"/>
    <w:rsid w:val="00C10F85"/>
    <w:rsid w:val="00C114E1"/>
    <w:rsid w:val="00C12BB7"/>
    <w:rsid w:val="00C12E72"/>
    <w:rsid w:val="00C1324F"/>
    <w:rsid w:val="00C16335"/>
    <w:rsid w:val="00C16CEA"/>
    <w:rsid w:val="00C17608"/>
    <w:rsid w:val="00C17EFE"/>
    <w:rsid w:val="00C22682"/>
    <w:rsid w:val="00C227F8"/>
    <w:rsid w:val="00C22829"/>
    <w:rsid w:val="00C22CB5"/>
    <w:rsid w:val="00C233EE"/>
    <w:rsid w:val="00C24322"/>
    <w:rsid w:val="00C261AF"/>
    <w:rsid w:val="00C2668B"/>
    <w:rsid w:val="00C26E79"/>
    <w:rsid w:val="00C2799B"/>
    <w:rsid w:val="00C30244"/>
    <w:rsid w:val="00C30FBB"/>
    <w:rsid w:val="00C318A4"/>
    <w:rsid w:val="00C31AE8"/>
    <w:rsid w:val="00C327B4"/>
    <w:rsid w:val="00C33584"/>
    <w:rsid w:val="00C348B8"/>
    <w:rsid w:val="00C3490D"/>
    <w:rsid w:val="00C34E15"/>
    <w:rsid w:val="00C35793"/>
    <w:rsid w:val="00C364F9"/>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39E"/>
    <w:rsid w:val="00C61F05"/>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4714"/>
    <w:rsid w:val="00C852A7"/>
    <w:rsid w:val="00C86881"/>
    <w:rsid w:val="00C86B64"/>
    <w:rsid w:val="00C86C43"/>
    <w:rsid w:val="00C87358"/>
    <w:rsid w:val="00C90919"/>
    <w:rsid w:val="00C921D4"/>
    <w:rsid w:val="00C92865"/>
    <w:rsid w:val="00C928B4"/>
    <w:rsid w:val="00C9297D"/>
    <w:rsid w:val="00C94D30"/>
    <w:rsid w:val="00C95432"/>
    <w:rsid w:val="00C96065"/>
    <w:rsid w:val="00C97313"/>
    <w:rsid w:val="00CA0DA3"/>
    <w:rsid w:val="00CA18E1"/>
    <w:rsid w:val="00CA1DCC"/>
    <w:rsid w:val="00CA1FD7"/>
    <w:rsid w:val="00CA3C43"/>
    <w:rsid w:val="00CA47AD"/>
    <w:rsid w:val="00CA4FFD"/>
    <w:rsid w:val="00CA5274"/>
    <w:rsid w:val="00CA54D9"/>
    <w:rsid w:val="00CA600C"/>
    <w:rsid w:val="00CA698C"/>
    <w:rsid w:val="00CA7491"/>
    <w:rsid w:val="00CB0B54"/>
    <w:rsid w:val="00CB0C77"/>
    <w:rsid w:val="00CB0F55"/>
    <w:rsid w:val="00CB1004"/>
    <w:rsid w:val="00CB2B5A"/>
    <w:rsid w:val="00CB4012"/>
    <w:rsid w:val="00CB528D"/>
    <w:rsid w:val="00CC0746"/>
    <w:rsid w:val="00CC09A8"/>
    <w:rsid w:val="00CC1316"/>
    <w:rsid w:val="00CC1487"/>
    <w:rsid w:val="00CC1D21"/>
    <w:rsid w:val="00CC245E"/>
    <w:rsid w:val="00CC3F19"/>
    <w:rsid w:val="00CC447F"/>
    <w:rsid w:val="00CC544A"/>
    <w:rsid w:val="00CC5BD3"/>
    <w:rsid w:val="00CC6329"/>
    <w:rsid w:val="00CC6E93"/>
    <w:rsid w:val="00CC73F1"/>
    <w:rsid w:val="00CC7B86"/>
    <w:rsid w:val="00CD0187"/>
    <w:rsid w:val="00CD08A5"/>
    <w:rsid w:val="00CD0DB3"/>
    <w:rsid w:val="00CD1D3B"/>
    <w:rsid w:val="00CD1FC2"/>
    <w:rsid w:val="00CD3520"/>
    <w:rsid w:val="00CD3B78"/>
    <w:rsid w:val="00CD46CB"/>
    <w:rsid w:val="00CD486C"/>
    <w:rsid w:val="00CD7179"/>
    <w:rsid w:val="00CD7220"/>
    <w:rsid w:val="00CE06D1"/>
    <w:rsid w:val="00CE0858"/>
    <w:rsid w:val="00CE096B"/>
    <w:rsid w:val="00CE1099"/>
    <w:rsid w:val="00CE1602"/>
    <w:rsid w:val="00CE1BEC"/>
    <w:rsid w:val="00CE211C"/>
    <w:rsid w:val="00CE229A"/>
    <w:rsid w:val="00CE2A94"/>
    <w:rsid w:val="00CE2C1B"/>
    <w:rsid w:val="00CE3E80"/>
    <w:rsid w:val="00CE5C12"/>
    <w:rsid w:val="00CE720A"/>
    <w:rsid w:val="00CE7285"/>
    <w:rsid w:val="00CE76CC"/>
    <w:rsid w:val="00CF0056"/>
    <w:rsid w:val="00CF0A3E"/>
    <w:rsid w:val="00CF0E20"/>
    <w:rsid w:val="00CF2628"/>
    <w:rsid w:val="00CF3671"/>
    <w:rsid w:val="00CF3A76"/>
    <w:rsid w:val="00CF4356"/>
    <w:rsid w:val="00CF4ED6"/>
    <w:rsid w:val="00CF5D9C"/>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6A54"/>
    <w:rsid w:val="00D31245"/>
    <w:rsid w:val="00D31504"/>
    <w:rsid w:val="00D3165D"/>
    <w:rsid w:val="00D32AFC"/>
    <w:rsid w:val="00D356F1"/>
    <w:rsid w:val="00D37847"/>
    <w:rsid w:val="00D4181A"/>
    <w:rsid w:val="00D42C36"/>
    <w:rsid w:val="00D438FA"/>
    <w:rsid w:val="00D45809"/>
    <w:rsid w:val="00D4744A"/>
    <w:rsid w:val="00D47BC7"/>
    <w:rsid w:val="00D47DE4"/>
    <w:rsid w:val="00D5081C"/>
    <w:rsid w:val="00D523AD"/>
    <w:rsid w:val="00D53155"/>
    <w:rsid w:val="00D53E3E"/>
    <w:rsid w:val="00D5464A"/>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74EF9"/>
    <w:rsid w:val="00D760F3"/>
    <w:rsid w:val="00D81AA1"/>
    <w:rsid w:val="00D81DB2"/>
    <w:rsid w:val="00D83593"/>
    <w:rsid w:val="00D8378F"/>
    <w:rsid w:val="00D84DE9"/>
    <w:rsid w:val="00D85166"/>
    <w:rsid w:val="00D85186"/>
    <w:rsid w:val="00D85C58"/>
    <w:rsid w:val="00D85D18"/>
    <w:rsid w:val="00D8611E"/>
    <w:rsid w:val="00D8749B"/>
    <w:rsid w:val="00D916C5"/>
    <w:rsid w:val="00D917EB"/>
    <w:rsid w:val="00D919AC"/>
    <w:rsid w:val="00D91E5D"/>
    <w:rsid w:val="00D92115"/>
    <w:rsid w:val="00D9219F"/>
    <w:rsid w:val="00D92D10"/>
    <w:rsid w:val="00D93ED9"/>
    <w:rsid w:val="00D93F3F"/>
    <w:rsid w:val="00D9426C"/>
    <w:rsid w:val="00D94720"/>
    <w:rsid w:val="00D95D71"/>
    <w:rsid w:val="00D96159"/>
    <w:rsid w:val="00D964C5"/>
    <w:rsid w:val="00D96762"/>
    <w:rsid w:val="00DA0CAD"/>
    <w:rsid w:val="00DA3631"/>
    <w:rsid w:val="00DA3661"/>
    <w:rsid w:val="00DA3BC4"/>
    <w:rsid w:val="00DA4BE5"/>
    <w:rsid w:val="00DA4DEA"/>
    <w:rsid w:val="00DA50DC"/>
    <w:rsid w:val="00DA527C"/>
    <w:rsid w:val="00DA54EE"/>
    <w:rsid w:val="00DA55E3"/>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05C"/>
    <w:rsid w:val="00DC19AB"/>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045C"/>
    <w:rsid w:val="00DE061A"/>
    <w:rsid w:val="00DE1122"/>
    <w:rsid w:val="00DE1A29"/>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1D88"/>
    <w:rsid w:val="00E02C2F"/>
    <w:rsid w:val="00E03135"/>
    <w:rsid w:val="00E03387"/>
    <w:rsid w:val="00E03696"/>
    <w:rsid w:val="00E042DD"/>
    <w:rsid w:val="00E044E7"/>
    <w:rsid w:val="00E0543E"/>
    <w:rsid w:val="00E05D7E"/>
    <w:rsid w:val="00E07B42"/>
    <w:rsid w:val="00E10474"/>
    <w:rsid w:val="00E10DB0"/>
    <w:rsid w:val="00E112BA"/>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4127"/>
    <w:rsid w:val="00E35090"/>
    <w:rsid w:val="00E36AED"/>
    <w:rsid w:val="00E3729D"/>
    <w:rsid w:val="00E41486"/>
    <w:rsid w:val="00E41DA8"/>
    <w:rsid w:val="00E43948"/>
    <w:rsid w:val="00E43BF6"/>
    <w:rsid w:val="00E43C5A"/>
    <w:rsid w:val="00E45533"/>
    <w:rsid w:val="00E46521"/>
    <w:rsid w:val="00E47F2D"/>
    <w:rsid w:val="00E504BD"/>
    <w:rsid w:val="00E50AC8"/>
    <w:rsid w:val="00E51A21"/>
    <w:rsid w:val="00E521DF"/>
    <w:rsid w:val="00E53483"/>
    <w:rsid w:val="00E5418B"/>
    <w:rsid w:val="00E545F9"/>
    <w:rsid w:val="00E565E2"/>
    <w:rsid w:val="00E56E79"/>
    <w:rsid w:val="00E57164"/>
    <w:rsid w:val="00E57325"/>
    <w:rsid w:val="00E573DC"/>
    <w:rsid w:val="00E57AD9"/>
    <w:rsid w:val="00E60C03"/>
    <w:rsid w:val="00E60D28"/>
    <w:rsid w:val="00E62A4A"/>
    <w:rsid w:val="00E62AF6"/>
    <w:rsid w:val="00E62F6E"/>
    <w:rsid w:val="00E63A8C"/>
    <w:rsid w:val="00E648F1"/>
    <w:rsid w:val="00E64929"/>
    <w:rsid w:val="00E64CF4"/>
    <w:rsid w:val="00E67540"/>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87969"/>
    <w:rsid w:val="00E90875"/>
    <w:rsid w:val="00E91632"/>
    <w:rsid w:val="00E92E4A"/>
    <w:rsid w:val="00E930A8"/>
    <w:rsid w:val="00E93183"/>
    <w:rsid w:val="00E9376F"/>
    <w:rsid w:val="00E95497"/>
    <w:rsid w:val="00E95582"/>
    <w:rsid w:val="00E95C55"/>
    <w:rsid w:val="00E96460"/>
    <w:rsid w:val="00EA0BDF"/>
    <w:rsid w:val="00EA0E79"/>
    <w:rsid w:val="00EA1FED"/>
    <w:rsid w:val="00EA2263"/>
    <w:rsid w:val="00EA323E"/>
    <w:rsid w:val="00EA5EFF"/>
    <w:rsid w:val="00EA5F98"/>
    <w:rsid w:val="00EA621A"/>
    <w:rsid w:val="00EA7C30"/>
    <w:rsid w:val="00EA7E19"/>
    <w:rsid w:val="00EB152B"/>
    <w:rsid w:val="00EB15AC"/>
    <w:rsid w:val="00EB2A2F"/>
    <w:rsid w:val="00EB3251"/>
    <w:rsid w:val="00EB418C"/>
    <w:rsid w:val="00EB55AF"/>
    <w:rsid w:val="00EB7B8B"/>
    <w:rsid w:val="00EB7F01"/>
    <w:rsid w:val="00EC0325"/>
    <w:rsid w:val="00EC1F2D"/>
    <w:rsid w:val="00EC241A"/>
    <w:rsid w:val="00EC31FE"/>
    <w:rsid w:val="00EC3A10"/>
    <w:rsid w:val="00EC3E4B"/>
    <w:rsid w:val="00EC48E1"/>
    <w:rsid w:val="00EC49DB"/>
    <w:rsid w:val="00EC5133"/>
    <w:rsid w:val="00EC6824"/>
    <w:rsid w:val="00ED02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773"/>
    <w:rsid w:val="00EE6EED"/>
    <w:rsid w:val="00EE6F02"/>
    <w:rsid w:val="00EF0E0C"/>
    <w:rsid w:val="00EF0FE0"/>
    <w:rsid w:val="00EF1CB4"/>
    <w:rsid w:val="00EF3AF4"/>
    <w:rsid w:val="00EF3FD1"/>
    <w:rsid w:val="00EF45EF"/>
    <w:rsid w:val="00EF5883"/>
    <w:rsid w:val="00EF5F34"/>
    <w:rsid w:val="00EF6798"/>
    <w:rsid w:val="00EF6CC6"/>
    <w:rsid w:val="00EF7CDA"/>
    <w:rsid w:val="00F007A8"/>
    <w:rsid w:val="00F00B32"/>
    <w:rsid w:val="00F00E4D"/>
    <w:rsid w:val="00F01CD7"/>
    <w:rsid w:val="00F01E0B"/>
    <w:rsid w:val="00F0279C"/>
    <w:rsid w:val="00F02ACB"/>
    <w:rsid w:val="00F05C3C"/>
    <w:rsid w:val="00F05E12"/>
    <w:rsid w:val="00F063CD"/>
    <w:rsid w:val="00F1092C"/>
    <w:rsid w:val="00F10B7F"/>
    <w:rsid w:val="00F1354A"/>
    <w:rsid w:val="00F136AF"/>
    <w:rsid w:val="00F13946"/>
    <w:rsid w:val="00F140E3"/>
    <w:rsid w:val="00F17E7A"/>
    <w:rsid w:val="00F20383"/>
    <w:rsid w:val="00F20E60"/>
    <w:rsid w:val="00F21B0D"/>
    <w:rsid w:val="00F21D73"/>
    <w:rsid w:val="00F221C1"/>
    <w:rsid w:val="00F22C73"/>
    <w:rsid w:val="00F230D3"/>
    <w:rsid w:val="00F232CB"/>
    <w:rsid w:val="00F2446B"/>
    <w:rsid w:val="00F24D38"/>
    <w:rsid w:val="00F24FE7"/>
    <w:rsid w:val="00F25A9F"/>
    <w:rsid w:val="00F25BE8"/>
    <w:rsid w:val="00F25D07"/>
    <w:rsid w:val="00F26C40"/>
    <w:rsid w:val="00F31CDE"/>
    <w:rsid w:val="00F31F09"/>
    <w:rsid w:val="00F339DE"/>
    <w:rsid w:val="00F34F1E"/>
    <w:rsid w:val="00F35187"/>
    <w:rsid w:val="00F3537B"/>
    <w:rsid w:val="00F35DAC"/>
    <w:rsid w:val="00F36173"/>
    <w:rsid w:val="00F36C6B"/>
    <w:rsid w:val="00F3766A"/>
    <w:rsid w:val="00F42B47"/>
    <w:rsid w:val="00F43583"/>
    <w:rsid w:val="00F4359F"/>
    <w:rsid w:val="00F43BB6"/>
    <w:rsid w:val="00F444E5"/>
    <w:rsid w:val="00F47EC6"/>
    <w:rsid w:val="00F50085"/>
    <w:rsid w:val="00F507E8"/>
    <w:rsid w:val="00F53886"/>
    <w:rsid w:val="00F5439F"/>
    <w:rsid w:val="00F543D7"/>
    <w:rsid w:val="00F54A67"/>
    <w:rsid w:val="00F561C5"/>
    <w:rsid w:val="00F56B6E"/>
    <w:rsid w:val="00F56EA1"/>
    <w:rsid w:val="00F5708C"/>
    <w:rsid w:val="00F573BF"/>
    <w:rsid w:val="00F6094E"/>
    <w:rsid w:val="00F62CF1"/>
    <w:rsid w:val="00F643C7"/>
    <w:rsid w:val="00F646C4"/>
    <w:rsid w:val="00F64CB4"/>
    <w:rsid w:val="00F64ED6"/>
    <w:rsid w:val="00F6553F"/>
    <w:rsid w:val="00F661FE"/>
    <w:rsid w:val="00F704C7"/>
    <w:rsid w:val="00F70E7F"/>
    <w:rsid w:val="00F7117B"/>
    <w:rsid w:val="00F714B2"/>
    <w:rsid w:val="00F737AD"/>
    <w:rsid w:val="00F74508"/>
    <w:rsid w:val="00F74852"/>
    <w:rsid w:val="00F75E88"/>
    <w:rsid w:val="00F773DC"/>
    <w:rsid w:val="00F77E6F"/>
    <w:rsid w:val="00F802E5"/>
    <w:rsid w:val="00F80A1E"/>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8FA"/>
    <w:rsid w:val="00FA215C"/>
    <w:rsid w:val="00FA39D1"/>
    <w:rsid w:val="00FA45B4"/>
    <w:rsid w:val="00FA4A66"/>
    <w:rsid w:val="00FA5508"/>
    <w:rsid w:val="00FA5A7A"/>
    <w:rsid w:val="00FA77FB"/>
    <w:rsid w:val="00FA7E07"/>
    <w:rsid w:val="00FB001B"/>
    <w:rsid w:val="00FB1306"/>
    <w:rsid w:val="00FB30A8"/>
    <w:rsid w:val="00FB3830"/>
    <w:rsid w:val="00FB3877"/>
    <w:rsid w:val="00FB46C5"/>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6423"/>
    <w:rsid w:val="00FD68E4"/>
    <w:rsid w:val="00FD6B2E"/>
    <w:rsid w:val="00FD73FC"/>
    <w:rsid w:val="00FD7568"/>
    <w:rsid w:val="00FE00BE"/>
    <w:rsid w:val="00FE06D8"/>
    <w:rsid w:val="00FE0F1D"/>
    <w:rsid w:val="00FE1F50"/>
    <w:rsid w:val="00FE2038"/>
    <w:rsid w:val="00FE33CE"/>
    <w:rsid w:val="00FE3946"/>
    <w:rsid w:val="00FE3C9C"/>
    <w:rsid w:val="00FE3CC4"/>
    <w:rsid w:val="00FE58F7"/>
    <w:rsid w:val="00FE5922"/>
    <w:rsid w:val="00FE6407"/>
    <w:rsid w:val="00FF29E6"/>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2F9B48"/>
    <w:rsid w:val="1B61E57A"/>
    <w:rsid w:val="1B6ECB2E"/>
    <w:rsid w:val="1B9F480C"/>
    <w:rsid w:val="1BE08CCE"/>
    <w:rsid w:val="1C208B8F"/>
    <w:rsid w:val="1D0AB2A3"/>
    <w:rsid w:val="1D1DEB4A"/>
    <w:rsid w:val="1D406AC6"/>
    <w:rsid w:val="1D8F1269"/>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B25E6B3-0518-4356-902A-81140D6A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92057F"/>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323A3D"/>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 Type="http://schemas.microsoft.com/office/2019/05/relationships/documenttasks" Target="documenttasks/documenttasks1.xml" Id="rId27" /></Relationships>
</file>

<file path=word/documenttasks/documenttasks1.xml><?xml version="1.0" encoding="utf-8"?>
<t:Tasks xmlns:t="http://schemas.microsoft.com/office/tasks/2019/documenttasks" xmlns:oel="http://schemas.microsoft.com/office/2019/extlst">
  <t:Task id="{7AAD4BDC-94F3-44F4-AB48-FC3628D5FAF3}">
    <t:Anchor>
      <t:Comment id="680483137"/>
    </t:Anchor>
    <t:History>
      <t:Event id="{32E3F2B4-741B-401A-A2C0-DBB17624CEAC}" time="2023-08-22T14:56:49.806Z">
        <t:Attribution userId="S::paula.delaney@niot.org.uk::587e3194-853d-48a2-bec4-d52a45694cea" userProvider="AD" userName="Paula Delaney"/>
        <t:Anchor>
          <t:Comment id="680483137"/>
        </t:Anchor>
        <t:Create/>
      </t:Event>
      <t:Event id="{C4C059CB-1BCB-4E74-9F3B-6E4C65895D00}" time="2023-08-22T14:56:49.806Z">
        <t:Attribution userId="S::paula.delaney@niot.org.uk::587e3194-853d-48a2-bec4-d52a45694cea" userProvider="AD" userName="Paula Delaney"/>
        <t:Anchor>
          <t:Comment id="680483137"/>
        </t:Anchor>
        <t:Assign userId="S::k.micklewright@niot.org.uk::52b30c2f-7b88-4812-a324-06ffcf5b8a0c" userProvider="AD" userName="Katy Micklewright"/>
      </t:Event>
      <t:Event id="{918324F7-5024-4B56-AF10-568620F923EC}" time="2023-08-22T14:56:49.806Z">
        <t:Attribution userId="S::paula.delaney@niot.org.uk::587e3194-853d-48a2-bec4-d52a45694cea" userProvider="AD" userName="Paula Delaney"/>
        <t:Anchor>
          <t:Comment id="680483137"/>
        </t:Anchor>
        <t:SetTitle title="@Katy Micklewright This is ready for final review now too"/>
      </t:Event>
      <t:Event id="{39502F91-04D4-402F-A756-60C6CF928E0E}" time="2023-08-22T15:29:43.061Z">
        <t:Attribution userId="S::k.micklewright@niot.org.uk::52b30c2f-7b88-4812-a324-06ffcf5b8a0c" userProvider="AD" userName="Katy Micklewright"/>
        <t:Progress percentComplete="100"/>
      </t:Event>
    </t:History>
  </t:Task>
  <t:Task id="{C398A24E-091B-4732-8AC8-5487A77B6D52}">
    <t:Anchor>
      <t:Comment id="680482050"/>
    </t:Anchor>
    <t:History>
      <t:Event id="{B0392BD4-BA3C-43B5-9EEC-DC363E47EF56}" time="2023-08-22T14:38:42.623Z">
        <t:Attribution userId="S::paula.delaney@niot.org.uk::587e3194-853d-48a2-bec4-d52a45694cea" userProvider="AD" userName="Paula Delaney"/>
        <t:Anchor>
          <t:Comment id="680482050"/>
        </t:Anchor>
        <t:Create/>
      </t:Event>
      <t:Event id="{1895BA9E-BE87-41A8-8CA1-64CA9B3CB7DE}" time="2023-08-22T14:38:42.623Z">
        <t:Attribution userId="S::paula.delaney@niot.org.uk::587e3194-853d-48a2-bec4-d52a45694cea" userProvider="AD" userName="Paula Delaney"/>
        <t:Anchor>
          <t:Comment id="680482050"/>
        </t:Anchor>
        <t:Assign userId="S::k.micklewright@niot.org.uk::52b30c2f-7b88-4812-a324-06ffcf5b8a0c" userProvider="AD" userName="Katy Micklewright"/>
      </t:Event>
      <t:Event id="{226C7EF7-09BD-4C9E-890E-01078D48B8C3}" time="2023-08-22T14:38:42.623Z">
        <t:Attribution userId="S::paula.delaney@niot.org.uk::587e3194-853d-48a2-bec4-d52a45694cea" userProvider="AD" userName="Paula Delaney"/>
        <t:Anchor>
          <t:Comment id="680482050"/>
        </t:Anchor>
        <t:SetTitle title="@Katy Micklewright Is this tool only used in live sessions or will it be used throughout the programme including as part of live session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25F06"/>
    <w:rsid w:val="000749CC"/>
    <w:rsid w:val="000812E8"/>
    <w:rsid w:val="0008400C"/>
    <w:rsid w:val="000E1D8A"/>
    <w:rsid w:val="000F78A1"/>
    <w:rsid w:val="00112A81"/>
    <w:rsid w:val="00182899"/>
    <w:rsid w:val="001859EB"/>
    <w:rsid w:val="00194433"/>
    <w:rsid w:val="002379CF"/>
    <w:rsid w:val="00262FEB"/>
    <w:rsid w:val="00263D47"/>
    <w:rsid w:val="00266964"/>
    <w:rsid w:val="00281FD3"/>
    <w:rsid w:val="0028206E"/>
    <w:rsid w:val="0028244B"/>
    <w:rsid w:val="003010E0"/>
    <w:rsid w:val="003270E4"/>
    <w:rsid w:val="0033708F"/>
    <w:rsid w:val="003438E3"/>
    <w:rsid w:val="00383760"/>
    <w:rsid w:val="00393C5D"/>
    <w:rsid w:val="003A1944"/>
    <w:rsid w:val="003B0F29"/>
    <w:rsid w:val="003D729B"/>
    <w:rsid w:val="00406494"/>
    <w:rsid w:val="00424F4E"/>
    <w:rsid w:val="00436188"/>
    <w:rsid w:val="004B4037"/>
    <w:rsid w:val="004B4F4A"/>
    <w:rsid w:val="004C1E7A"/>
    <w:rsid w:val="004D4C6C"/>
    <w:rsid w:val="004D5F3B"/>
    <w:rsid w:val="004E70A6"/>
    <w:rsid w:val="00570CA5"/>
    <w:rsid w:val="00574A09"/>
    <w:rsid w:val="005E0F26"/>
    <w:rsid w:val="006256B7"/>
    <w:rsid w:val="00637445"/>
    <w:rsid w:val="00645D98"/>
    <w:rsid w:val="00681148"/>
    <w:rsid w:val="00683809"/>
    <w:rsid w:val="006C7F04"/>
    <w:rsid w:val="006D0152"/>
    <w:rsid w:val="006E7836"/>
    <w:rsid w:val="00717F8A"/>
    <w:rsid w:val="00733608"/>
    <w:rsid w:val="007701A2"/>
    <w:rsid w:val="00776D70"/>
    <w:rsid w:val="00782B3E"/>
    <w:rsid w:val="007F1971"/>
    <w:rsid w:val="00881FEC"/>
    <w:rsid w:val="008A02EC"/>
    <w:rsid w:val="008A1758"/>
    <w:rsid w:val="008C55B8"/>
    <w:rsid w:val="00971124"/>
    <w:rsid w:val="009A45ED"/>
    <w:rsid w:val="009A653E"/>
    <w:rsid w:val="009D5B7F"/>
    <w:rsid w:val="009F3930"/>
    <w:rsid w:val="00A0024E"/>
    <w:rsid w:val="00A221B9"/>
    <w:rsid w:val="00AA04C0"/>
    <w:rsid w:val="00AB0785"/>
    <w:rsid w:val="00AE6F21"/>
    <w:rsid w:val="00B57E55"/>
    <w:rsid w:val="00B96E57"/>
    <w:rsid w:val="00BC79BD"/>
    <w:rsid w:val="00BD1811"/>
    <w:rsid w:val="00BF1A28"/>
    <w:rsid w:val="00BF69B7"/>
    <w:rsid w:val="00C1324F"/>
    <w:rsid w:val="00C37E2C"/>
    <w:rsid w:val="00C37E6B"/>
    <w:rsid w:val="00C44572"/>
    <w:rsid w:val="00CA7491"/>
    <w:rsid w:val="00CE7285"/>
    <w:rsid w:val="00D33A38"/>
    <w:rsid w:val="00D5120A"/>
    <w:rsid w:val="00D7490A"/>
    <w:rsid w:val="00D917EB"/>
    <w:rsid w:val="00D97569"/>
    <w:rsid w:val="00DD2C9C"/>
    <w:rsid w:val="00E11902"/>
    <w:rsid w:val="00E354CF"/>
    <w:rsid w:val="00E44513"/>
    <w:rsid w:val="00E46748"/>
    <w:rsid w:val="00E568ED"/>
    <w:rsid w:val="00EA7C30"/>
    <w:rsid w:val="00EC48E1"/>
    <w:rsid w:val="00F0279C"/>
    <w:rsid w:val="00F26C40"/>
    <w:rsid w:val="00F96954"/>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C81FE06E-8FB3-4EB2-9791-6B4DD55E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Subject and curriculum            Elective self-study 4</dc:title>
  <dc:subject>Enhancing all pupils’ literacy</dc:subject>
  <dc:creator>[</dc:creator>
  <keywords/>
  <dc:description/>
  <lastModifiedBy>Rosie Jonas</lastModifiedBy>
  <revision>1206</revision>
  <dcterms:created xsi:type="dcterms:W3CDTF">2023-07-20T00:52:00.0000000Z</dcterms:created>
  <dcterms:modified xsi:type="dcterms:W3CDTF">2025-06-29T10:08:11.9185958Z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