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rFonts w:ascii="Tahoma" w:hAnsi="Tahoma" w:cs="Tahoma"/>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6C5B8203" w:rsidR="00403260" w:rsidRPr="00A32B15" w:rsidRDefault="00BE2519" w:rsidP="00043B0D">
                    <w:pPr>
                      <w:pStyle w:val="NoSpacing"/>
                      <w:spacing w:line="216" w:lineRule="auto"/>
                      <w:jc w:val="left"/>
                      <w:rPr>
                        <w:rFonts w:ascii="Tahoma" w:eastAsiaTheme="majorEastAsia" w:hAnsi="Tahoma" w:cs="Tahoma"/>
                        <w:color w:val="007559" w:themeColor="accent1"/>
                        <w:sz w:val="88"/>
                        <w:szCs w:val="88"/>
                      </w:rPr>
                    </w:pPr>
                    <w:r w:rsidRPr="00A32B15">
                      <w:rPr>
                        <w:rFonts w:ascii="Tahoma" w:hAnsi="Tahoma" w:cs="Tahoma"/>
                        <w:b/>
                        <w:color w:val="007559" w:themeColor="accent1"/>
                        <w:sz w:val="88"/>
                        <w:szCs w:val="88"/>
                      </w:rPr>
                      <w:t>ECT</w:t>
                    </w:r>
                    <w:r w:rsidR="00541E41" w:rsidRPr="00A32B15">
                      <w:rPr>
                        <w:rFonts w:ascii="Tahoma" w:hAnsi="Tahoma" w:cs="Tahoma"/>
                        <w:b/>
                        <w:color w:val="007559" w:themeColor="accent1"/>
                        <w:sz w:val="88"/>
                        <w:szCs w:val="88"/>
                      </w:rPr>
                      <w:t xml:space="preserve"> Programme</w:t>
                    </w:r>
                  </w:p>
                </w:sdtContent>
              </w:sdt>
            </w:tc>
          </w:tr>
          <w:tr w:rsidR="003E6D66" w14:paraId="6D81EF19" w14:textId="77777777" w:rsidTr="00DF5599">
            <w:sdt>
              <w:sdtPr>
                <w:rPr>
                  <w:rFonts w:ascii="Tahoma" w:hAnsi="Tahoma" w:cs="Tahoma"/>
                  <w:b/>
                  <w:color w:val="007559" w:themeColor="accent1"/>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46731A9F" w:rsidR="00403260" w:rsidRPr="00A32B15" w:rsidRDefault="008220F0" w:rsidP="005B3E0E">
                    <w:pPr>
                      <w:pStyle w:val="NoSpacing"/>
                      <w:jc w:val="left"/>
                      <w:rPr>
                        <w:rFonts w:ascii="Tahoma" w:hAnsi="Tahoma" w:cs="Tahoma"/>
                        <w:b/>
                        <w:bCs/>
                        <w:color w:val="007559" w:themeColor="accent1"/>
                        <w:sz w:val="24"/>
                      </w:rPr>
                    </w:pPr>
                    <w:r w:rsidRPr="00A32B15">
                      <w:rPr>
                        <w:rFonts w:ascii="Tahoma" w:hAnsi="Tahoma" w:cs="Tahoma"/>
                        <w:b/>
                        <w:color w:val="007559" w:themeColor="accent1"/>
                        <w:sz w:val="56"/>
                        <w:szCs w:val="56"/>
                      </w:rPr>
                      <w:t>S</w:t>
                    </w:r>
                    <w:r w:rsidR="00196EFE" w:rsidRPr="00A32B15">
                      <w:rPr>
                        <w:rFonts w:ascii="Tahoma" w:hAnsi="Tahoma" w:cs="Tahoma"/>
                        <w:b/>
                        <w:color w:val="007559" w:themeColor="accent1"/>
                        <w:sz w:val="56"/>
                        <w:szCs w:val="56"/>
                      </w:rPr>
                      <w:t xml:space="preserve">eminar: </w:t>
                    </w:r>
                    <w:r w:rsidR="0052324F" w:rsidRPr="00A32B15">
                      <w:rPr>
                        <w:rFonts w:ascii="Tahoma" w:hAnsi="Tahoma" w:cs="Tahoma"/>
                        <w:b/>
                        <w:color w:val="007559" w:themeColor="accent1"/>
                        <w:sz w:val="56"/>
                        <w:szCs w:val="56"/>
                      </w:rPr>
                      <w:t>Programme In</w:t>
                    </w:r>
                    <w:r w:rsidR="00DD6033" w:rsidRPr="00A32B15">
                      <w:rPr>
                        <w:rFonts w:ascii="Tahoma" w:hAnsi="Tahoma" w:cs="Tahoma"/>
                        <w:b/>
                        <w:color w:val="007559" w:themeColor="accent1"/>
                        <w:sz w:val="56"/>
                        <w:szCs w:val="56"/>
                      </w:rPr>
                      <w:t>tro</w:t>
                    </w:r>
                    <w:r w:rsidR="0052324F" w:rsidRPr="00A32B15">
                      <w:rPr>
                        <w:rFonts w:ascii="Tahoma" w:hAnsi="Tahoma" w:cs="Tahoma"/>
                        <w:b/>
                        <w:color w:val="007559" w:themeColor="accent1"/>
                        <w:sz w:val="56"/>
                        <w:szCs w:val="56"/>
                      </w:rPr>
                      <w:t>duction</w:t>
                    </w:r>
                    <w:r w:rsidR="0075296A" w:rsidRPr="00A32B15">
                      <w:rPr>
                        <w:rFonts w:ascii="Tahoma" w:hAnsi="Tahoma" w:cs="Tahoma"/>
                        <w:b/>
                        <w:color w:val="007559" w:themeColor="accent1"/>
                        <w:sz w:val="56"/>
                        <w:szCs w:val="56"/>
                      </w:rPr>
                      <w:t xml:space="preserve"> for </w:t>
                    </w:r>
                    <w:r w:rsidR="00A374B6" w:rsidRPr="00A32B15">
                      <w:rPr>
                        <w:rFonts w:ascii="Tahoma" w:hAnsi="Tahoma" w:cs="Tahoma"/>
                        <w:b/>
                        <w:color w:val="007559" w:themeColor="accent1"/>
                        <w:sz w:val="56"/>
                        <w:szCs w:val="56"/>
                      </w:rPr>
                      <w:t xml:space="preserve">Year 2 </w:t>
                    </w:r>
                    <w:r w:rsidR="0075296A" w:rsidRPr="00A32B15">
                      <w:rPr>
                        <w:rFonts w:ascii="Tahoma" w:hAnsi="Tahoma" w:cs="Tahoma"/>
                        <w:b/>
                        <w:color w:val="007559" w:themeColor="accent1"/>
                        <w:sz w:val="56"/>
                        <w:szCs w:val="56"/>
                      </w:rPr>
                      <w:t>early career teachers</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622A634A" w14:textId="681CEF08" w:rsidR="00462BCB" w:rsidRDefault="00DF5599" w:rsidP="00462BCB">
                <w:pPr>
                  <w:pStyle w:val="NoSpacing"/>
                  <w:spacing w:line="276" w:lineRule="auto"/>
                  <w:jc w:val="left"/>
                  <w:rPr>
                    <w:rFonts w:ascii="Tahoma" w:hAnsi="Tahoma" w:cs="Tahoma"/>
                    <w:color w:val="FFFFFF" w:themeColor="background1"/>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Pr>
                    <w:rFonts w:ascii="Tahoma" w:hAnsi="Tahoma" w:cs="Tahoma"/>
                    <w:color w:val="FFFFFF" w:themeColor="background1"/>
                    <w:lang w:val="en-US"/>
                  </w:rPr>
                  <w:t>It provides</w:t>
                </w:r>
                <w:r w:rsidR="00A32B15">
                  <w:rPr>
                    <w:rFonts w:ascii="Tahoma" w:hAnsi="Tahoma" w:cs="Tahoma"/>
                    <w:color w:val="FFFFFF" w:themeColor="background1"/>
                    <w:lang w:val="en-US"/>
                  </w:rPr>
                  <w:t xml:space="preserve"> </w:t>
                </w:r>
                <w:r w:rsidR="00462BCB">
                  <w:rPr>
                    <w:rFonts w:ascii="Tahoma" w:hAnsi="Tahoma" w:cs="Tahoma"/>
                    <w:color w:val="FFFFFF" w:themeColor="background1"/>
                    <w:lang w:val="en-US"/>
                  </w:rPr>
                  <w:t>materials to introduce</w:t>
                </w:r>
                <w:r>
                  <w:rPr>
                    <w:rFonts w:ascii="Tahoma" w:hAnsi="Tahoma" w:cs="Tahoma"/>
                    <w:color w:val="FFFFFF" w:themeColor="background1"/>
                    <w:lang w:val="en-US"/>
                  </w:rPr>
                  <w:t xml:space="preserve"> the </w:t>
                </w:r>
                <w:r w:rsidR="00462BCB">
                  <w:rPr>
                    <w:rFonts w:ascii="Tahoma" w:hAnsi="Tahoma" w:cs="Tahoma"/>
                    <w:color w:val="FFFFFF" w:themeColor="background1"/>
                    <w:lang w:val="en-US"/>
                  </w:rPr>
                  <w:t xml:space="preserve">programme to </w:t>
                </w:r>
                <w:r w:rsidR="00B045BF">
                  <w:rPr>
                    <w:rFonts w:ascii="Tahoma" w:hAnsi="Tahoma" w:cs="Tahoma"/>
                    <w:color w:val="FFFFFF" w:themeColor="background1"/>
                    <w:lang w:val="en-US"/>
                  </w:rPr>
                  <w:t xml:space="preserve">Year 2 </w:t>
                </w:r>
                <w:r w:rsidR="00462BCB">
                  <w:rPr>
                    <w:rFonts w:ascii="Tahoma" w:hAnsi="Tahoma" w:cs="Tahoma"/>
                    <w:color w:val="FFFFFF" w:themeColor="background1"/>
                    <w:lang w:val="en-US"/>
                  </w:rPr>
                  <w:t>ECTs</w:t>
                </w:r>
                <w:r w:rsidR="00462BCB" w:rsidRPr="00BB68BF">
                  <w:rPr>
                    <w:rFonts w:ascii="Tahoma" w:hAnsi="Tahoma" w:cs="Tahoma"/>
                    <w:color w:val="FFFFFF" w:themeColor="background1"/>
                    <w:lang w:val="en-US"/>
                  </w:rPr>
                  <w:t>.</w:t>
                </w:r>
                <w:r w:rsidR="00462BCB" w:rsidRPr="00BB68BF">
                  <w:rPr>
                    <w:rFonts w:ascii="Tahoma" w:hAnsi="Tahoma" w:cs="Tahoma"/>
                    <w:color w:val="FFFFFF" w:themeColor="background1"/>
                  </w:rPr>
                  <w:t> </w:t>
                </w:r>
                <w:r w:rsidRPr="00DF5599">
                  <w:rPr>
                    <w:rFonts w:cs="Tahoma"/>
                    <w:color w:val="FFFFFF" w:themeColor="background1"/>
                    <w:szCs w:val="24"/>
                    <w:lang w:val="en-US"/>
                  </w:rPr>
                  <w:t xml:space="preserve"> It also offers suggested activities and durations, as well as recommended references to support design and facilitation</w:t>
                </w:r>
                <w:r w:rsidR="00462BCB" w:rsidRPr="00BB68BF">
                  <w:rPr>
                    <w:rFonts w:ascii="Tahoma" w:hAnsi="Tahoma" w:cs="Tahoma"/>
                    <w:color w:val="FFFFFF" w:themeColor="background1"/>
                  </w:rPr>
                  <w:t xml:space="preserve"> </w:t>
                </w:r>
              </w:p>
              <w:p w14:paraId="6105F19F" w14:textId="4DEA6F11" w:rsidR="003E6D66" w:rsidRPr="00190E05" w:rsidRDefault="003E6D66" w:rsidP="00C32DB7">
                <w:pPr>
                  <w:jc w:val="left"/>
                  <w:rPr>
                    <w:rFonts w:cs="Tahoma"/>
                    <w:color w:val="FFFFFF" w:themeColor="background1"/>
                    <w:szCs w:val="24"/>
                    <w:lang w:val="en-US"/>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4F7B05E5" w:rsidR="007E6DCC" w:rsidRDefault="00F53C8B" w:rsidP="00CA472C">
      <w:pPr>
        <w:pStyle w:val="Heading"/>
        <w:jc w:val="left"/>
      </w:pPr>
      <w:r>
        <w:lastRenderedPageBreak/>
        <w:t>S</w:t>
      </w:r>
      <w:r w:rsidR="00EC0016">
        <w:t>eminar</w:t>
      </w:r>
      <w:r w:rsidR="00AB2255">
        <w:t xml:space="preserve"> title</w:t>
      </w:r>
      <w:r w:rsidR="00196EFE">
        <w:t>:</w:t>
      </w:r>
      <w:r w:rsidR="00EC0016">
        <w:t xml:space="preserve"> </w:t>
      </w:r>
      <w:r w:rsidR="00DD6033">
        <w:t>Programme introduction</w:t>
      </w:r>
    </w:p>
    <w:p w14:paraId="61116FB3" w14:textId="6A67B21E" w:rsidR="007E6DCC" w:rsidRPr="007E6DCC" w:rsidRDefault="001D64AB" w:rsidP="001D64AB">
      <w:pPr>
        <w:pStyle w:val="Subheading"/>
        <w:jc w:val="left"/>
        <w:rPr>
          <w:b w:val="0"/>
          <w:bCs w:val="0"/>
          <w:color w:val="auto"/>
        </w:rPr>
      </w:pPr>
      <w:r w:rsidRPr="001D64AB">
        <w:t>Suggested d</w:t>
      </w:r>
      <w:r w:rsidR="007E6DCC" w:rsidRPr="001D64AB">
        <w:t>uration</w:t>
      </w:r>
      <w:r w:rsidR="007E6DCC" w:rsidRPr="001D64AB">
        <w:br/>
      </w:r>
      <w:r w:rsidR="00DD6033" w:rsidRPr="001D64AB">
        <w:rPr>
          <w:b w:val="0"/>
          <w:color w:val="auto"/>
        </w:rPr>
        <w:t>180</w:t>
      </w:r>
      <w:r w:rsidR="007E6DCC" w:rsidRPr="001D64AB">
        <w:rPr>
          <w:b w:val="0"/>
          <w:color w:val="auto"/>
        </w:rPr>
        <w:t xml:space="preserve"> minutes</w:t>
      </w:r>
      <w:r w:rsidR="007E6DCC" w:rsidRPr="007E6DCC">
        <w:rPr>
          <w:b w:val="0"/>
          <w:bCs w:val="0"/>
          <w:color w:val="auto"/>
        </w:rPr>
        <w:t xml:space="preserve"> </w:t>
      </w:r>
    </w:p>
    <w:p w14:paraId="07AD7FA3" w14:textId="3638CB96" w:rsidR="007E6DCC" w:rsidRDefault="007E6DCC" w:rsidP="007E6DCC">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090405">
            <w:pPr>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09B1FF8D" w:rsidR="00090405" w:rsidRPr="00C34D26" w:rsidRDefault="00090405">
            <w:r w:rsidRPr="00C34D26">
              <w:t xml:space="preserve">Page </w:t>
            </w:r>
            <w:r w:rsidR="00EC0016">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pPr>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5293A1AD" w:rsidR="00090405" w:rsidRPr="00F55C7B" w:rsidRDefault="00090405">
            <w:r w:rsidRPr="00F55C7B">
              <w:t xml:space="preserve">Page </w:t>
            </w:r>
            <w:r w:rsidR="00EC0016">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569A7">
            <w:pPr>
              <w:jc w:val="left"/>
              <w:rPr>
                <w:color w:val="0070C0"/>
              </w:rPr>
            </w:pPr>
            <w:hyperlink w:anchor="relatedframeworkstatements" w:history="1">
              <w:r w:rsidRPr="009C1721">
                <w:rPr>
                  <w:rStyle w:val="Hyperlink"/>
                  <w:color w:val="0070C0"/>
                </w:rPr>
                <w:t>Related Initial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406FBC69" w:rsidR="00090405" w:rsidRPr="00C22AD9" w:rsidRDefault="00090405">
            <w:r w:rsidRPr="00C34D26">
              <w:t xml:space="preserve">Page </w:t>
            </w:r>
            <w:r w:rsidR="00C64990">
              <w:t>3</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pPr>
              <w:rPr>
                <w:color w:val="0070C0"/>
              </w:rPr>
            </w:pPr>
            <w:hyperlink w:anchor="sessioninputs" w:history="1">
              <w:r w:rsidRPr="009C1721">
                <w:rPr>
                  <w:rStyle w:val="Hyperlink"/>
                  <w:color w:val="0070C0"/>
                </w:rPr>
                <w:t>Session inputs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5FAFB2CB" w:rsidR="00090405" w:rsidRPr="00C34D26" w:rsidRDefault="00090405">
            <w:r w:rsidRPr="008C61BC">
              <w:t>Page</w:t>
            </w:r>
            <w:r w:rsidR="00EC0016">
              <w:t xml:space="preserve"> </w:t>
            </w:r>
            <w:r w:rsidR="00921E72">
              <w:t>4</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4C55C9DE" w:rsidR="0018628E" w:rsidRPr="009C1721" w:rsidRDefault="007D0B77">
            <w:pPr>
              <w:rPr>
                <w:color w:val="FFFFFF" w:themeColor="background1"/>
              </w:rPr>
            </w:pPr>
            <w:hyperlink w:anchor="References" w:history="1">
              <w:r w:rsidRPr="007D0B77">
                <w:rPr>
                  <w:rStyle w:val="Hyperlink"/>
                  <w:color w:val="FFFFFF" w:themeColor="background1"/>
                </w:rPr>
                <w:t>Ref</w:t>
              </w:r>
              <w:r w:rsidRPr="007D0B77">
                <w:rPr>
                  <w:rStyle w:val="Hyperlink"/>
                  <w:color w:val="FFFFFF" w:themeColor="background1"/>
                </w:rPr>
                <w:t>e</w:t>
              </w:r>
              <w:r w:rsidRPr="007D0B77">
                <w:rPr>
                  <w:rStyle w:val="Hyperlink"/>
                  <w:color w:val="FFFFFF" w:themeColor="background1"/>
                </w:rPr>
                <w:t>r</w:t>
              </w:r>
              <w:r w:rsidRPr="007D0B77">
                <w:rPr>
                  <w:rStyle w:val="Hyperlink"/>
                  <w:color w:val="FFFFFF" w:themeColor="background1"/>
                </w:rPr>
                <w:t>e</w:t>
              </w:r>
              <w:r w:rsidRPr="007D0B77">
                <w:rPr>
                  <w:rStyle w:val="Hyperlink"/>
                  <w:color w:val="FFFFFF" w:themeColor="background1"/>
                </w:rPr>
                <w:t>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484EB3CD" w:rsidR="0018628E" w:rsidRPr="00C22AD9" w:rsidRDefault="0018628E">
            <w:pPr>
              <w:rPr>
                <w:color w:val="FFFFFF" w:themeColor="background1"/>
              </w:rPr>
            </w:pPr>
            <w:r>
              <w:rPr>
                <w:color w:val="FFFFFF" w:themeColor="background1"/>
              </w:rPr>
              <w:t xml:space="preserve">Page </w:t>
            </w:r>
            <w:r w:rsidR="00C64990">
              <w:rPr>
                <w:color w:val="FFFFFF" w:themeColor="background1"/>
              </w:rPr>
              <w:t>1</w:t>
            </w:r>
            <w:r w:rsidR="009E634F">
              <w:rPr>
                <w:color w:val="FFFFFF" w:themeColor="background1"/>
              </w:rPr>
              <w:t>0</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417F0281" w:rsidR="00090405" w:rsidRPr="009C1721" w:rsidRDefault="007D0B77">
            <w:pPr>
              <w:rPr>
                <w:rStyle w:val="normaltextrun"/>
                <w:color w:val="FFFFFF" w:themeColor="background1"/>
              </w:rPr>
            </w:pPr>
            <w:hyperlink w:anchor="Appendix" w:history="1">
              <w:r w:rsidRPr="007D0B77">
                <w:rPr>
                  <w:rStyle w:val="Hyperlink"/>
                  <w:color w:val="FFFFFF" w:themeColor="background1"/>
                </w:rPr>
                <w:t>App</w:t>
              </w:r>
              <w:r w:rsidRPr="007D0B77">
                <w:rPr>
                  <w:rStyle w:val="Hyperlink"/>
                  <w:color w:val="FFFFFF" w:themeColor="background1"/>
                </w:rPr>
                <w:t>e</w:t>
              </w:r>
              <w:r w:rsidRPr="007D0B77">
                <w:rPr>
                  <w:rStyle w:val="Hyperlink"/>
                  <w:color w:val="FFFFFF" w:themeColor="background1"/>
                </w:rPr>
                <w:t>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41CD1608"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7D0B77">
              <w:rPr>
                <w:color w:val="FFFFFF" w:themeColor="background1"/>
              </w:rPr>
              <w:t>11</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7E6DCC">
      <w:pPr>
        <w:pStyle w:val="Subheading"/>
      </w:pPr>
      <w:bookmarkStart w:id="2" w:name="Sessionoverview"/>
      <w:r w:rsidRPr="00883472">
        <w:lastRenderedPageBreak/>
        <w:t>Session overview</w:t>
      </w:r>
      <w:r w:rsidR="00CA5868">
        <w:t xml:space="preserve"> </w:t>
      </w:r>
      <w:r w:rsidRPr="00883472">
        <w:t xml:space="preserve"> </w:t>
      </w:r>
    </w:p>
    <w:bookmarkEnd w:id="2"/>
    <w:p w14:paraId="5564D360" w14:textId="2BD7A209" w:rsidR="004943C9" w:rsidRDefault="00090405" w:rsidP="00D437C8">
      <w:pPr>
        <w:jc w:val="left"/>
        <w:rPr>
          <w:rFonts w:cs="Tahoma"/>
        </w:rPr>
      </w:pPr>
      <w:r>
        <w:rPr>
          <w:rFonts w:cs="Tahoma"/>
        </w:rPr>
        <w:t>This seminar intends</w:t>
      </w:r>
      <w:r w:rsidRPr="002450B0">
        <w:rPr>
          <w:rFonts w:cs="Tahoma"/>
        </w:rPr>
        <w:t xml:space="preserve"> to </w:t>
      </w:r>
      <w:r w:rsidR="00741CD4">
        <w:rPr>
          <w:rFonts w:cs="Tahoma"/>
        </w:rPr>
        <w:t xml:space="preserve">introduce </w:t>
      </w:r>
      <w:r w:rsidR="00F86460">
        <w:rPr>
          <w:rFonts w:cs="Tahoma"/>
        </w:rPr>
        <w:t xml:space="preserve">Year 2 </w:t>
      </w:r>
      <w:r w:rsidR="00E878B2">
        <w:rPr>
          <w:rFonts w:cs="Tahoma"/>
        </w:rPr>
        <w:t>early career teachers (</w:t>
      </w:r>
      <w:r w:rsidR="00741CD4">
        <w:rPr>
          <w:rFonts w:cs="Tahoma"/>
        </w:rPr>
        <w:t>ECTs</w:t>
      </w:r>
      <w:r w:rsidR="00E878B2">
        <w:rPr>
          <w:rFonts w:cs="Tahoma"/>
        </w:rPr>
        <w:t>)</w:t>
      </w:r>
      <w:r w:rsidR="00741CD4">
        <w:rPr>
          <w:rFonts w:cs="Tahoma"/>
        </w:rPr>
        <w:t xml:space="preserve"> to the </w:t>
      </w:r>
      <w:r w:rsidR="00F86460">
        <w:rPr>
          <w:rFonts w:cs="Tahoma"/>
        </w:rPr>
        <w:t xml:space="preserve">second year of their </w:t>
      </w:r>
      <w:r w:rsidR="00530DE1">
        <w:rPr>
          <w:rFonts w:cs="Tahoma"/>
        </w:rPr>
        <w:t xml:space="preserve">Early Career Teacher Entitlement (ECTE) </w:t>
      </w:r>
      <w:r w:rsidR="00741CD4">
        <w:rPr>
          <w:rFonts w:cs="Tahoma"/>
        </w:rPr>
        <w:t>programme</w:t>
      </w:r>
      <w:r w:rsidRPr="002450B0">
        <w:rPr>
          <w:rFonts w:cs="Tahoma"/>
        </w:rPr>
        <w:t xml:space="preserve">. </w:t>
      </w:r>
      <w:r w:rsidR="00F1351F">
        <w:rPr>
          <w:rFonts w:cs="Tahoma"/>
        </w:rPr>
        <w:t>It comprises</w:t>
      </w:r>
      <w:r w:rsidR="004943C9" w:rsidRPr="004943C9">
        <w:rPr>
          <w:rFonts w:cs="Tahoma"/>
        </w:rPr>
        <w:t xml:space="preserve"> </w:t>
      </w:r>
      <w:r w:rsidR="00E9739F">
        <w:rPr>
          <w:rFonts w:cs="Tahoma"/>
        </w:rPr>
        <w:t>four</w:t>
      </w:r>
      <w:r w:rsidR="004943C9" w:rsidRPr="004943C9">
        <w:rPr>
          <w:rFonts w:cs="Tahoma"/>
        </w:rPr>
        <w:t xml:space="preserve"> sections that address </w:t>
      </w:r>
      <w:r w:rsidR="007F6E1E">
        <w:rPr>
          <w:rFonts w:cs="Tahoma"/>
        </w:rPr>
        <w:t xml:space="preserve">the programme </w:t>
      </w:r>
      <w:r w:rsidR="007905FF">
        <w:rPr>
          <w:rFonts w:cs="Tahoma"/>
        </w:rPr>
        <w:t>model</w:t>
      </w:r>
      <w:r w:rsidR="004943C9" w:rsidRPr="004943C9">
        <w:rPr>
          <w:rFonts w:cs="Tahoma"/>
        </w:rPr>
        <w:t>,</w:t>
      </w:r>
      <w:r w:rsidR="007F6E1E">
        <w:rPr>
          <w:rFonts w:cs="Tahoma"/>
        </w:rPr>
        <w:t xml:space="preserve"> </w:t>
      </w:r>
      <w:r w:rsidR="007905FF">
        <w:rPr>
          <w:rFonts w:cs="Tahoma"/>
        </w:rPr>
        <w:t>thinking critically about research</w:t>
      </w:r>
      <w:r w:rsidR="007F6E1E">
        <w:rPr>
          <w:rFonts w:cs="Tahoma"/>
        </w:rPr>
        <w:t xml:space="preserve">, </w:t>
      </w:r>
      <w:r w:rsidR="007905FF">
        <w:rPr>
          <w:rFonts w:cs="Tahoma"/>
        </w:rPr>
        <w:t xml:space="preserve">taking ownership of personal professional development and continuing to </w:t>
      </w:r>
      <w:r w:rsidR="000B6F72">
        <w:rPr>
          <w:rFonts w:cs="Tahoma"/>
        </w:rPr>
        <w:t>manag</w:t>
      </w:r>
      <w:r w:rsidR="007905FF">
        <w:rPr>
          <w:rFonts w:cs="Tahoma"/>
        </w:rPr>
        <w:t>e</w:t>
      </w:r>
      <w:r w:rsidR="000B6F72">
        <w:rPr>
          <w:rFonts w:cs="Tahoma"/>
        </w:rPr>
        <w:t xml:space="preserve"> well-being and workload</w:t>
      </w:r>
      <w:r w:rsidR="004A4BF7">
        <w:rPr>
          <w:rFonts w:cs="Tahoma"/>
        </w:rPr>
        <w:t>.</w:t>
      </w:r>
      <w:r w:rsidR="004943C9" w:rsidRPr="004943C9">
        <w:rPr>
          <w:rFonts w:cs="Tahoma"/>
        </w:rPr>
        <w:t xml:space="preserve"> </w:t>
      </w:r>
      <w:r w:rsidR="004A4BF7">
        <w:rPr>
          <w:rFonts w:cs="Tahoma"/>
        </w:rPr>
        <w:t>E</w:t>
      </w:r>
      <w:r w:rsidR="004943C9" w:rsidRPr="004943C9">
        <w:rPr>
          <w:rFonts w:cs="Tahoma"/>
        </w:rPr>
        <w:t>ach section focuses on one of these areas through a combination of presentations, discussions, practice, feedback, and reflection activities.</w:t>
      </w:r>
    </w:p>
    <w:p w14:paraId="061CC45A" w14:textId="3384761D" w:rsidR="00090405" w:rsidRDefault="00090405" w:rsidP="00090405">
      <w:r w:rsidRPr="002450B0">
        <w:rPr>
          <w:rFonts w:cs="Tahoma"/>
        </w:rPr>
        <w:t xml:space="preserve">Designed to last </w:t>
      </w:r>
      <w:r w:rsidR="00E879A7">
        <w:rPr>
          <w:rFonts w:cs="Tahoma"/>
        </w:rPr>
        <w:t>180</w:t>
      </w:r>
      <w:r w:rsidRPr="002450B0">
        <w:rPr>
          <w:rFonts w:cs="Tahoma"/>
        </w:rPr>
        <w:t xml:space="preserve"> minutes, the seminar can be adapted to suit different contexts and needs.</w:t>
      </w:r>
      <w:r>
        <w:rPr>
          <w:rFonts w:cs="Tahoma"/>
        </w:rPr>
        <w:t xml:space="preserve"> It is recommended that phase</w:t>
      </w:r>
      <w:r w:rsidR="00F1351F">
        <w:rPr>
          <w:rFonts w:cs="Tahoma"/>
        </w:rPr>
        <w:t xml:space="preserve"> or </w:t>
      </w:r>
      <w:r>
        <w:rPr>
          <w:rFonts w:cs="Tahoma"/>
        </w:rPr>
        <w:t>subject specific examples are provided as appropriate throughout.</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12EE4AE9" w14:textId="77777777" w:rsidR="003A060F" w:rsidRPr="003A060F" w:rsidRDefault="003A060F" w:rsidP="00936B43">
      <w:pPr>
        <w:pStyle w:val="ListParagraph"/>
        <w:numPr>
          <w:ilvl w:val="0"/>
          <w:numId w:val="4"/>
        </w:numPr>
      </w:pPr>
      <w:r w:rsidRPr="003A060F">
        <w:rPr>
          <w:lang w:val="en-US"/>
        </w:rPr>
        <w:t>To review the structure of the National Institute of Teaching (NIoT) programme for Early Career Teachers (ECT) in Year 2.</w:t>
      </w:r>
    </w:p>
    <w:p w14:paraId="5ABC8584" w14:textId="77777777" w:rsidR="003A060F" w:rsidRPr="003A060F" w:rsidRDefault="003A060F" w:rsidP="00936B43">
      <w:pPr>
        <w:pStyle w:val="ListParagraph"/>
        <w:numPr>
          <w:ilvl w:val="0"/>
          <w:numId w:val="4"/>
        </w:numPr>
      </w:pPr>
      <w:r w:rsidRPr="003A060F">
        <w:rPr>
          <w:lang w:val="en-US"/>
        </w:rPr>
        <w:t>To discuss the role and responsibilities of a year 2 ECT.</w:t>
      </w:r>
    </w:p>
    <w:p w14:paraId="0D5AEDA0" w14:textId="77777777" w:rsidR="003A060F" w:rsidRPr="003A060F" w:rsidRDefault="003A060F" w:rsidP="00936B43">
      <w:pPr>
        <w:pStyle w:val="ListParagraph"/>
        <w:numPr>
          <w:ilvl w:val="0"/>
          <w:numId w:val="4"/>
        </w:numPr>
      </w:pPr>
      <w:r w:rsidRPr="003A060F">
        <w:t>To think critically about research and apply it to classroom practice.</w:t>
      </w:r>
    </w:p>
    <w:p w14:paraId="745AD057" w14:textId="77777777" w:rsidR="003A060F" w:rsidRPr="003A060F" w:rsidRDefault="003A060F" w:rsidP="00936B43">
      <w:pPr>
        <w:pStyle w:val="ListParagraph"/>
        <w:numPr>
          <w:ilvl w:val="0"/>
          <w:numId w:val="4"/>
        </w:numPr>
      </w:pPr>
      <w:r w:rsidRPr="003A060F">
        <w:rPr>
          <w:lang w:val="en-US"/>
        </w:rPr>
        <w:t>To explore the personal professional development model used within the NIoT ECT programme and consider what it means to be a reflective practitioner.</w:t>
      </w:r>
    </w:p>
    <w:p w14:paraId="5AF782CE" w14:textId="77777777" w:rsidR="003A060F" w:rsidRPr="003A060F" w:rsidRDefault="003A060F" w:rsidP="00936B43">
      <w:pPr>
        <w:pStyle w:val="ListParagraph"/>
        <w:numPr>
          <w:ilvl w:val="0"/>
          <w:numId w:val="4"/>
        </w:numPr>
      </w:pPr>
      <w:r w:rsidRPr="003A060F">
        <w:rPr>
          <w:lang w:val="en-US"/>
        </w:rPr>
        <w:t>To consider how ECTs can continue to manage their well-being with the support of the NIoT and their colleagues.</w:t>
      </w:r>
    </w:p>
    <w:p w14:paraId="1CE9B1F7" w14:textId="77777777" w:rsidR="00883472" w:rsidRDefault="00883472" w:rsidP="00883472">
      <w:pPr>
        <w:pStyle w:val="ListParagraph"/>
        <w:ind w:left="360"/>
      </w:pPr>
    </w:p>
    <w:p w14:paraId="193E2404" w14:textId="77777777" w:rsidR="003A060F" w:rsidRDefault="003A060F" w:rsidP="00883472">
      <w:pPr>
        <w:pStyle w:val="Subheading"/>
      </w:pPr>
      <w:bookmarkStart w:id="4" w:name="relatedframeworkstatements"/>
    </w:p>
    <w:p w14:paraId="7712D779" w14:textId="77777777" w:rsidR="003A060F" w:rsidRDefault="003A060F" w:rsidP="00883472">
      <w:pPr>
        <w:pStyle w:val="Subheading"/>
      </w:pPr>
    </w:p>
    <w:p w14:paraId="64AC175D" w14:textId="77777777" w:rsidR="003A060F" w:rsidRDefault="003A060F" w:rsidP="00883472">
      <w:pPr>
        <w:pStyle w:val="Subheading"/>
      </w:pPr>
    </w:p>
    <w:p w14:paraId="3080EC45" w14:textId="77777777" w:rsidR="003A060F" w:rsidRDefault="003A060F" w:rsidP="00883472">
      <w:pPr>
        <w:pStyle w:val="Subheading"/>
      </w:pPr>
    </w:p>
    <w:p w14:paraId="39DB4158" w14:textId="77777777" w:rsidR="003A060F" w:rsidRDefault="003A060F" w:rsidP="00883472">
      <w:pPr>
        <w:pStyle w:val="Subheading"/>
      </w:pPr>
    </w:p>
    <w:p w14:paraId="1AC9D401" w14:textId="77777777" w:rsidR="003A060F" w:rsidRDefault="003A060F" w:rsidP="00883472">
      <w:pPr>
        <w:pStyle w:val="Subheading"/>
      </w:pPr>
    </w:p>
    <w:p w14:paraId="103C8DEC" w14:textId="77777777" w:rsidR="003A060F" w:rsidRDefault="003A060F" w:rsidP="00883472">
      <w:pPr>
        <w:pStyle w:val="Subheading"/>
      </w:pPr>
    </w:p>
    <w:p w14:paraId="46D9D296" w14:textId="77777777" w:rsidR="003A060F" w:rsidRDefault="003A060F" w:rsidP="00883472">
      <w:pPr>
        <w:pStyle w:val="Subheading"/>
      </w:pPr>
    </w:p>
    <w:p w14:paraId="572E9541" w14:textId="77777777" w:rsidR="003A060F" w:rsidRDefault="003A060F" w:rsidP="00883472">
      <w:pPr>
        <w:pStyle w:val="Subheading"/>
      </w:pPr>
    </w:p>
    <w:p w14:paraId="4F458C54" w14:textId="77777777" w:rsidR="003A060F" w:rsidRDefault="003A060F" w:rsidP="00883472">
      <w:pPr>
        <w:pStyle w:val="Subheading"/>
      </w:pPr>
    </w:p>
    <w:p w14:paraId="4656350E" w14:textId="77777777" w:rsidR="003A060F" w:rsidRDefault="003A060F" w:rsidP="00883472">
      <w:pPr>
        <w:pStyle w:val="Subheading"/>
      </w:pPr>
    </w:p>
    <w:p w14:paraId="1672BA4C" w14:textId="743E33EC" w:rsidR="00883472" w:rsidRDefault="00883472" w:rsidP="00883472">
      <w:pPr>
        <w:pStyle w:val="Subheading"/>
      </w:pPr>
      <w:r w:rsidRPr="00A17169">
        <w:lastRenderedPageBreak/>
        <w:t>Related ITTECF framework statements</w:t>
      </w:r>
      <w:r>
        <w:t xml:space="preserve"> </w:t>
      </w:r>
    </w:p>
    <w:bookmarkEnd w:id="4"/>
    <w:p w14:paraId="093ACA3C" w14:textId="77777777" w:rsidR="00377AF3" w:rsidRPr="00800099" w:rsidRDefault="00377AF3" w:rsidP="00377AF3">
      <w:pPr>
        <w:rPr>
          <w:b/>
          <w:bCs/>
          <w:sz w:val="22"/>
          <w:szCs w:val="20"/>
        </w:rPr>
      </w:pPr>
      <w:r w:rsidRPr="00800099">
        <w:rPr>
          <w:b/>
          <w:bCs/>
          <w:sz w:val="22"/>
          <w:szCs w:val="20"/>
        </w:rPr>
        <w:t xml:space="preserve">Professional Behaviours </w:t>
      </w:r>
    </w:p>
    <w:p w14:paraId="2F6D050A" w14:textId="77777777" w:rsidR="00377AF3" w:rsidRDefault="00377AF3" w:rsidP="00377AF3">
      <w:pPr>
        <w:jc w:val="left"/>
      </w:pPr>
      <w:r>
        <w:t xml:space="preserve">8.1 </w:t>
      </w:r>
      <w:r w:rsidRPr="00A723DD">
        <w:t xml:space="preserve">Effective professional development is likely to be sustained over time, building knowledge, motivating staff, developing teaching techniques, and embedding practice. </w:t>
      </w:r>
    </w:p>
    <w:p w14:paraId="04670EAD" w14:textId="77777777" w:rsidR="00377AF3" w:rsidRDefault="00377AF3" w:rsidP="00377AF3">
      <w:pPr>
        <w:jc w:val="left"/>
      </w:pPr>
      <w:r>
        <w:t>8.</w:t>
      </w:r>
      <w:r w:rsidRPr="00A723DD">
        <w:t xml:space="preserve">2. Reflective practice, supported by feedback from and observation of experienced colleagues, professional debate, and learning from educational research, is also likely to support improvement. </w:t>
      </w:r>
    </w:p>
    <w:p w14:paraId="00AAC59D" w14:textId="77777777" w:rsidR="00377AF3" w:rsidRDefault="00377AF3" w:rsidP="00377AF3">
      <w:pPr>
        <w:jc w:val="left"/>
      </w:pPr>
      <w:r>
        <w:t>8.</w:t>
      </w:r>
      <w:r w:rsidRPr="00A723DD">
        <w:t>3. Teachers can make valuable contributions to the wider life of the school in a broad range of ways, including by supporting and developing effective professional relationships with colleagues.</w:t>
      </w:r>
    </w:p>
    <w:p w14:paraId="326BC571" w14:textId="77777777" w:rsidR="00377AF3" w:rsidRDefault="00377AF3" w:rsidP="00377AF3">
      <w:pPr>
        <w:jc w:val="left"/>
      </w:pPr>
      <w:r>
        <w:t xml:space="preserve">8.7 </w:t>
      </w:r>
      <w:r w:rsidRPr="00A723DD">
        <w:t xml:space="preserve">Engaging in high quality professional development can help teachers improve. </w:t>
      </w:r>
    </w:p>
    <w:p w14:paraId="6B825CBC" w14:textId="77777777" w:rsidR="00377AF3" w:rsidRDefault="00377AF3" w:rsidP="00377AF3">
      <w:pPr>
        <w:jc w:val="left"/>
      </w:pPr>
      <w:r>
        <w:t>8.</w:t>
      </w:r>
      <w:r w:rsidRPr="00A723DD">
        <w:t>9. Research evidence can vary in its level of reliability, which is determined by how the research was conducted and other factors that might introduce bias, such as the level of independence. High quality research communicates methods and limitations transparently</w:t>
      </w:r>
      <w:r>
        <w:t>.</w:t>
      </w:r>
    </w:p>
    <w:p w14:paraId="032C9817" w14:textId="77777777" w:rsidR="00377AF3" w:rsidRDefault="00377AF3" w:rsidP="00377AF3">
      <w:pPr>
        <w:jc w:val="left"/>
      </w:pPr>
      <w:r>
        <w:t xml:space="preserve">8a. </w:t>
      </w:r>
      <w:r w:rsidRPr="00A723DD">
        <w:t xml:space="preserve">Engaging in professional development focused on developing an area of practice with clear intentions for impact on pupil outcomes, sustained over time with built-in opportunities for practice. </w:t>
      </w:r>
    </w:p>
    <w:p w14:paraId="60D368EB" w14:textId="77777777" w:rsidR="00377AF3" w:rsidRDefault="00377AF3" w:rsidP="00377AF3">
      <w:pPr>
        <w:jc w:val="left"/>
      </w:pPr>
      <w:r>
        <w:t>8</w:t>
      </w:r>
      <w:r w:rsidRPr="00A723DD">
        <w:t>b</w:t>
      </w:r>
      <w:r>
        <w:t>.</w:t>
      </w:r>
      <w:r w:rsidRPr="00A723DD">
        <w:t xml:space="preserve"> Strengthening pedagogical and subject knowledge by participating in wider networks and as part of the lesson preparation process. </w:t>
      </w:r>
    </w:p>
    <w:p w14:paraId="296CF2EA" w14:textId="77777777" w:rsidR="00377AF3" w:rsidRDefault="00377AF3" w:rsidP="00377AF3">
      <w:pPr>
        <w:jc w:val="left"/>
      </w:pPr>
      <w:r>
        <w:t>8</w:t>
      </w:r>
      <w:r w:rsidRPr="00A723DD">
        <w:t>c</w:t>
      </w:r>
      <w:r>
        <w:t>.</w:t>
      </w:r>
      <w:r w:rsidRPr="00A723DD">
        <w:t xml:space="preserve"> Seeking challenge, feedback and critique from mentors and other colleagues in an open and trusting working environment. </w:t>
      </w:r>
    </w:p>
    <w:p w14:paraId="53AFC8EF" w14:textId="77777777" w:rsidR="00377AF3" w:rsidRDefault="00377AF3" w:rsidP="00377AF3">
      <w:pPr>
        <w:jc w:val="left"/>
      </w:pPr>
      <w:r>
        <w:t>8</w:t>
      </w:r>
      <w:r w:rsidRPr="00A723DD">
        <w:t>d</w:t>
      </w:r>
      <w:r>
        <w:t>.</w:t>
      </w:r>
      <w:r w:rsidRPr="00A723DD">
        <w:t xml:space="preserve"> Engaging with research evidence by accessing reliable sources, seeking support for how findings can inform practice, and monitoring the impact of applications. </w:t>
      </w:r>
    </w:p>
    <w:p w14:paraId="19BC4F12" w14:textId="77777777" w:rsidR="00377AF3" w:rsidRDefault="00377AF3" w:rsidP="00377AF3">
      <w:pPr>
        <w:jc w:val="left"/>
      </w:pPr>
      <w:r>
        <w:t>8</w:t>
      </w:r>
      <w:r w:rsidRPr="00A723DD">
        <w:t>e</w:t>
      </w:r>
      <w:r>
        <w:t>.</w:t>
      </w:r>
      <w:r w:rsidRPr="00A723DD">
        <w:t xml:space="preserve"> Reflecting on progress made, recognising strengths and weaknesses and identifying next steps for further improvement</w:t>
      </w:r>
      <w:r>
        <w:t>.</w:t>
      </w:r>
    </w:p>
    <w:p w14:paraId="68321BA3" w14:textId="77777777" w:rsidR="00377AF3" w:rsidRDefault="00377AF3" w:rsidP="00377AF3">
      <w:pPr>
        <w:jc w:val="left"/>
      </w:pPr>
      <w:r>
        <w:t xml:space="preserve">8m. </w:t>
      </w:r>
      <w:r w:rsidRPr="00A723DD">
        <w:t>Using and personalising systems and routines to support efficient time and task management</w:t>
      </w:r>
      <w:r>
        <w:t>.</w:t>
      </w:r>
    </w:p>
    <w:p w14:paraId="655B1B99" w14:textId="77777777" w:rsidR="00377AF3" w:rsidRDefault="00377AF3" w:rsidP="00377AF3">
      <w:pPr>
        <w:jc w:val="left"/>
      </w:pPr>
      <w:r>
        <w:t xml:space="preserve">8p. </w:t>
      </w:r>
      <w:r w:rsidRPr="00A723DD">
        <w:t>Protecting time for rest and recovery and being aware of support available to support good mental wellbeing.</w:t>
      </w:r>
    </w:p>
    <w:p w14:paraId="724F8915" w14:textId="661D8599" w:rsidR="007E6DCC" w:rsidRPr="00AB2255" w:rsidRDefault="00EC0016">
      <w:pPr>
        <w:rPr>
          <w:b/>
          <w:color w:val="0070C0"/>
          <w:sz w:val="28"/>
          <w:szCs w:val="24"/>
        </w:rPr>
      </w:pPr>
      <w:hyperlink w:anchor="Content" w:history="1">
        <w:r w:rsidRPr="00AB225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lastRenderedPageBreak/>
        <w:t>Session inputs</w:t>
      </w:r>
    </w:p>
    <w:bookmarkEnd w:id="5"/>
    <w:p w14:paraId="73C17741" w14:textId="20F39431" w:rsidR="003E55FD" w:rsidRPr="007A3FB5" w:rsidRDefault="007A3FB5" w:rsidP="00743B72">
      <w:pPr>
        <w:pStyle w:val="Subheading"/>
      </w:pPr>
      <w:r w:rsidRPr="007A3FB5">
        <w:t xml:space="preserve">Introduction </w:t>
      </w:r>
    </w:p>
    <w:p w14:paraId="0F728FB2" w14:textId="19DEA894" w:rsidR="007A3FB5" w:rsidRDefault="007A3FB5">
      <w:pPr>
        <w:rPr>
          <w:b/>
          <w:bCs/>
        </w:rPr>
      </w:pPr>
      <w:r>
        <w:rPr>
          <w:b/>
          <w:bCs/>
        </w:rPr>
        <w:t>Timing:</w:t>
      </w:r>
      <w:r w:rsidRPr="007A3FB5">
        <w:rPr>
          <w:b/>
          <w:bCs/>
        </w:rPr>
        <w:t xml:space="preserve"> </w:t>
      </w:r>
      <w:r w:rsidR="00C04567">
        <w:rPr>
          <w:b/>
          <w:bCs/>
        </w:rPr>
        <w:t>15</w:t>
      </w:r>
      <w:r w:rsidRPr="007A3FB5">
        <w:rPr>
          <w:b/>
          <w:bCs/>
        </w:rPr>
        <w:t xml:space="preserve"> minutes </w:t>
      </w:r>
    </w:p>
    <w:p w14:paraId="7B07FB3A" w14:textId="49FAAB1D" w:rsidR="00743B72" w:rsidRPr="00F027B0" w:rsidRDefault="00F7787A" w:rsidP="001B1707">
      <w:pPr>
        <w:jc w:val="left"/>
      </w:pPr>
      <w:r w:rsidRPr="00B815B1">
        <w:t xml:space="preserve">This section of the session should be used to set expectations and share the learning intentions for session. It could also be used as an opportunity for </w:t>
      </w:r>
      <w:r w:rsidR="00947A14">
        <w:t xml:space="preserve">Year 2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check-in with their peers and </w:t>
      </w:r>
      <w:r w:rsidR="00033F1D">
        <w:t>discuss</w:t>
      </w:r>
      <w:r w:rsidRPr="00B815B1">
        <w:t xml:space="preserve"> how these issues are </w:t>
      </w:r>
      <w:r w:rsidR="004E44F5" w:rsidRPr="00AE02A4">
        <w:t>approached within their school or Trust</w:t>
      </w:r>
      <w:r w:rsidRPr="00B815B1">
        <w:t>. Any particular school</w:t>
      </w:r>
      <w:r w:rsidR="001D7FEF">
        <w:t xml:space="preserve"> or </w:t>
      </w:r>
      <w:r w:rsidRPr="00B815B1">
        <w:t>Trust documentation could be highlighted at this stage.</w:t>
      </w:r>
    </w:p>
    <w:p w14:paraId="5D47DA47" w14:textId="62346465" w:rsidR="007A3FB5" w:rsidRDefault="007A3FB5" w:rsidP="0012465D">
      <w:pPr>
        <w:pStyle w:val="Subheading"/>
        <w:jc w:val="left"/>
      </w:pPr>
      <w:r w:rsidRPr="007A3FB5">
        <w:t xml:space="preserve">Section 1: </w:t>
      </w:r>
      <w:r w:rsidR="003E71C5">
        <w:t xml:space="preserve">Programme </w:t>
      </w:r>
      <w:r w:rsidR="00947A14">
        <w:t>model</w:t>
      </w:r>
    </w:p>
    <w:p w14:paraId="30946452" w14:textId="4A8CA898" w:rsidR="007A3FB5" w:rsidRPr="007A3FB5" w:rsidRDefault="007A3FB5">
      <w:pPr>
        <w:rPr>
          <w:b/>
          <w:bCs/>
        </w:rPr>
      </w:pPr>
      <w:r>
        <w:rPr>
          <w:b/>
          <w:bCs/>
        </w:rPr>
        <w:t xml:space="preserve">Timing: </w:t>
      </w:r>
      <w:r w:rsidR="00B757F5">
        <w:rPr>
          <w:b/>
          <w:bCs/>
        </w:rPr>
        <w:t>15</w:t>
      </w:r>
      <w:r>
        <w:rPr>
          <w:b/>
          <w:bCs/>
        </w:rPr>
        <w:t xml:space="preserve"> minutes </w:t>
      </w:r>
    </w:p>
    <w:p w14:paraId="2728DB88" w14:textId="61B069D8" w:rsidR="0012465D" w:rsidRDefault="0012465D" w:rsidP="00F66EF5">
      <w:pPr>
        <w:jc w:val="left"/>
      </w:pPr>
      <w:r w:rsidRPr="00D11E0E">
        <w:t>This section of the session</w:t>
      </w:r>
      <w:r>
        <w:t xml:space="preserve"> focuses on the</w:t>
      </w:r>
      <w:r w:rsidR="001D5AA4">
        <w:t xml:space="preserve"> structure of the </w:t>
      </w:r>
      <w:r w:rsidR="00BE2519">
        <w:t>ECT</w:t>
      </w:r>
      <w:r w:rsidR="00963F5A">
        <w:t xml:space="preserve"> programme</w:t>
      </w:r>
      <w:r w:rsidR="000F1BF3">
        <w:t xml:space="preserve"> in Year 2</w:t>
      </w:r>
      <w:r w:rsidR="00963F5A">
        <w:t>.</w:t>
      </w:r>
    </w:p>
    <w:p w14:paraId="0D935D61" w14:textId="391F8E84" w:rsidR="007A3FB5" w:rsidRPr="000635BA" w:rsidRDefault="007A3FB5">
      <w:pPr>
        <w:rPr>
          <w:b/>
          <w:bCs/>
        </w:rPr>
      </w:pPr>
      <w:r w:rsidRPr="74B18491">
        <w:rPr>
          <w:b/>
          <w:bCs/>
        </w:rPr>
        <w:t>Suggested activity</w:t>
      </w:r>
    </w:p>
    <w:p w14:paraId="3E0F14B2" w14:textId="1A0C7320" w:rsidR="00982CC4" w:rsidRDefault="009C6B8A" w:rsidP="00C62563">
      <w:pPr>
        <w:jc w:val="left"/>
      </w:pPr>
      <w:r>
        <w:t>Provide ECTs with an overview</w:t>
      </w:r>
      <w:r w:rsidR="00C613A4">
        <w:t xml:space="preserve"> of</w:t>
      </w:r>
      <w:r>
        <w:t xml:space="preserve"> </w:t>
      </w:r>
      <w:r w:rsidR="000F1BF3">
        <w:t>year</w:t>
      </w:r>
      <w:r>
        <w:t xml:space="preserve"> 2</w:t>
      </w:r>
      <w:r w:rsidR="001D7FEF">
        <w:t xml:space="preserve"> of the programme</w:t>
      </w:r>
      <w:r w:rsidR="00C613A4">
        <w:t xml:space="preserve">. Include </w:t>
      </w:r>
      <w:r>
        <w:t xml:space="preserve">a breakdown of how each module is structured with regards to </w:t>
      </w:r>
      <w:r w:rsidR="00CA72DA">
        <w:t>self-studies and live sessions</w:t>
      </w:r>
      <w:r w:rsidR="00C613A4">
        <w:t xml:space="preserve"> and how they should </w:t>
      </w:r>
      <w:r w:rsidR="00D702ED">
        <w:t>allocate their time</w:t>
      </w:r>
      <w:r w:rsidR="00CA72DA">
        <w:t>.</w:t>
      </w:r>
      <w:r w:rsidR="00C62563">
        <w:t xml:space="preserve"> </w:t>
      </w:r>
    </w:p>
    <w:p w14:paraId="1C826521" w14:textId="08445317" w:rsidR="00053A0D" w:rsidRDefault="00053A0D" w:rsidP="00053A0D">
      <w:r>
        <w:t xml:space="preserve">The programme will focus on the following modules in year </w:t>
      </w:r>
      <w:r w:rsidR="00053FD1">
        <w:t>2</w:t>
      </w:r>
      <w:r>
        <w:t xml:space="preserve"> with one area addressed each half term:</w:t>
      </w:r>
    </w:p>
    <w:tbl>
      <w:tblPr>
        <w:tblStyle w:val="TableGrid"/>
        <w:tblW w:w="0" w:type="auto"/>
        <w:tblLook w:val="04A0" w:firstRow="1" w:lastRow="0" w:firstColumn="1" w:lastColumn="0" w:noHBand="0" w:noVBand="1"/>
      </w:tblPr>
      <w:tblGrid>
        <w:gridCol w:w="2263"/>
        <w:gridCol w:w="6753"/>
      </w:tblGrid>
      <w:tr w:rsidR="00FB279B" w14:paraId="24C72205" w14:textId="77777777" w:rsidTr="00E33378">
        <w:tc>
          <w:tcPr>
            <w:tcW w:w="2263" w:type="dxa"/>
            <w:shd w:val="clear" w:color="auto" w:fill="005742" w:themeFill="accent1" w:themeFillShade="BF"/>
          </w:tcPr>
          <w:p w14:paraId="05DBC480" w14:textId="325EFCF7" w:rsidR="00FB279B" w:rsidRPr="000A0C12" w:rsidRDefault="000A0C12" w:rsidP="00FB279B">
            <w:pPr>
              <w:jc w:val="left"/>
              <w:rPr>
                <w:b/>
                <w:bCs/>
              </w:rPr>
            </w:pPr>
            <w:r>
              <w:rPr>
                <w:b/>
                <w:bCs/>
              </w:rPr>
              <w:t xml:space="preserve">Module A: </w:t>
            </w:r>
            <w:r w:rsidR="00FB279B" w:rsidRPr="000A0C12">
              <w:rPr>
                <w:b/>
                <w:bCs/>
              </w:rPr>
              <w:t>Behaviour and relationships</w:t>
            </w:r>
          </w:p>
          <w:p w14:paraId="274D39AE" w14:textId="77777777" w:rsidR="00FB279B" w:rsidRPr="000A0C12" w:rsidRDefault="00FB279B" w:rsidP="00053A0D">
            <w:pPr>
              <w:rPr>
                <w:b/>
                <w:bCs/>
              </w:rPr>
            </w:pPr>
          </w:p>
        </w:tc>
        <w:tc>
          <w:tcPr>
            <w:tcW w:w="6753" w:type="dxa"/>
          </w:tcPr>
          <w:p w14:paraId="6ACC5B17" w14:textId="23C6B6FE" w:rsidR="000A0C12" w:rsidRPr="000A0C12" w:rsidRDefault="00F628CE" w:rsidP="00E5416F">
            <w:pPr>
              <w:jc w:val="left"/>
            </w:pPr>
            <w:r>
              <w:t xml:space="preserve">This module will </w:t>
            </w:r>
            <w:r w:rsidR="007A0F38">
              <w:t>cover</w:t>
            </w:r>
            <w:r w:rsidR="0099059B">
              <w:t xml:space="preserve"> behaviour and relationships with</w:t>
            </w:r>
            <w:r w:rsidR="007A0F38">
              <w:t xml:space="preserve"> a</w:t>
            </w:r>
            <w:r w:rsidR="0099059B">
              <w:t xml:space="preserve"> specific</w:t>
            </w:r>
            <w:r w:rsidR="007A0F38">
              <w:t xml:space="preserve"> focus on the </w:t>
            </w:r>
            <w:r w:rsidR="004B4970">
              <w:t>influence</w:t>
            </w:r>
            <w:r w:rsidR="007A0F38">
              <w:t xml:space="preserve"> o</w:t>
            </w:r>
            <w:r w:rsidR="003F5CF5">
              <w:t>f teacher expectancies, pre</w:t>
            </w:r>
            <w:r w:rsidR="004B4970">
              <w:t>-</w:t>
            </w:r>
            <w:r w:rsidR="003F5CF5">
              <w:t>emptive strategies to promote appropriate classroom behaviour and</w:t>
            </w:r>
            <w:r w:rsidR="0099059B">
              <w:t xml:space="preserve"> </w:t>
            </w:r>
            <w:r w:rsidR="00DF6FDC">
              <w:t xml:space="preserve">the role of </w:t>
            </w:r>
            <w:r w:rsidR="000A0C12" w:rsidRPr="000A0C12">
              <w:t>motivatio</w:t>
            </w:r>
            <w:r w:rsidR="00F61B69">
              <w:t>n.</w:t>
            </w:r>
          </w:p>
          <w:p w14:paraId="58AA9FF3" w14:textId="77777777" w:rsidR="00FB279B" w:rsidRDefault="00FB279B" w:rsidP="00E5416F">
            <w:pPr>
              <w:jc w:val="left"/>
            </w:pPr>
          </w:p>
        </w:tc>
      </w:tr>
      <w:tr w:rsidR="00FB279B" w14:paraId="715E47FA" w14:textId="77777777" w:rsidTr="00E33378">
        <w:tc>
          <w:tcPr>
            <w:tcW w:w="2263" w:type="dxa"/>
            <w:shd w:val="clear" w:color="auto" w:fill="005742" w:themeFill="accent1" w:themeFillShade="BF"/>
          </w:tcPr>
          <w:p w14:paraId="1346C4E1" w14:textId="1C7F424A" w:rsidR="00FB279B" w:rsidRPr="000A0C12" w:rsidRDefault="000A0C12" w:rsidP="00FB279B">
            <w:pPr>
              <w:jc w:val="left"/>
              <w:rPr>
                <w:b/>
                <w:bCs/>
              </w:rPr>
            </w:pPr>
            <w:r>
              <w:rPr>
                <w:b/>
                <w:bCs/>
              </w:rPr>
              <w:t xml:space="preserve">Module B: </w:t>
            </w:r>
            <w:r w:rsidR="00FB279B" w:rsidRPr="000A0C12">
              <w:rPr>
                <w:b/>
                <w:bCs/>
              </w:rPr>
              <w:t xml:space="preserve">Memory and learning </w:t>
            </w:r>
          </w:p>
          <w:p w14:paraId="0670CD25" w14:textId="77777777" w:rsidR="00FB279B" w:rsidRPr="000A0C12" w:rsidRDefault="00FB279B" w:rsidP="00053A0D">
            <w:pPr>
              <w:rPr>
                <w:b/>
                <w:bCs/>
              </w:rPr>
            </w:pPr>
          </w:p>
        </w:tc>
        <w:tc>
          <w:tcPr>
            <w:tcW w:w="6753" w:type="dxa"/>
          </w:tcPr>
          <w:p w14:paraId="736F03C3" w14:textId="7768FB50" w:rsidR="000A0C12" w:rsidRPr="000A0C12" w:rsidRDefault="0097743F" w:rsidP="00E5416F">
            <w:pPr>
              <w:jc w:val="left"/>
            </w:pPr>
            <w:r>
              <w:t xml:space="preserve">In this module, focused on memory and learning, </w:t>
            </w:r>
            <w:r w:rsidR="00F157D2">
              <w:t>the topics of w</w:t>
            </w:r>
            <w:r w:rsidR="000A0C12" w:rsidRPr="000A0C12">
              <w:t>orking memory, cognitive load theory</w:t>
            </w:r>
            <w:r w:rsidR="00101B09">
              <w:t xml:space="preserve"> and the impact on instructional design and </w:t>
            </w:r>
            <w:r w:rsidR="005B3701">
              <w:t xml:space="preserve">the importance of </w:t>
            </w:r>
            <w:r w:rsidR="000A0C12" w:rsidRPr="000A0C12">
              <w:t>retrieval practice</w:t>
            </w:r>
            <w:r w:rsidR="005B3701">
              <w:t xml:space="preserve"> </w:t>
            </w:r>
            <w:r w:rsidR="00BF25CA">
              <w:t xml:space="preserve">for long term retention. </w:t>
            </w:r>
          </w:p>
          <w:p w14:paraId="307AC82E" w14:textId="77777777" w:rsidR="00FB279B" w:rsidRDefault="00FB279B" w:rsidP="00E5416F">
            <w:pPr>
              <w:jc w:val="left"/>
            </w:pPr>
          </w:p>
        </w:tc>
      </w:tr>
      <w:tr w:rsidR="00FB279B" w14:paraId="2DC0515E" w14:textId="77777777" w:rsidTr="00E33378">
        <w:tc>
          <w:tcPr>
            <w:tcW w:w="2263" w:type="dxa"/>
            <w:shd w:val="clear" w:color="auto" w:fill="005742" w:themeFill="accent1" w:themeFillShade="BF"/>
          </w:tcPr>
          <w:p w14:paraId="5D9BAAFF" w14:textId="06E596B7" w:rsidR="00FB279B" w:rsidRPr="000A0C12" w:rsidRDefault="000A0C12" w:rsidP="00FB279B">
            <w:pPr>
              <w:jc w:val="left"/>
              <w:rPr>
                <w:b/>
                <w:bCs/>
              </w:rPr>
            </w:pPr>
            <w:r>
              <w:rPr>
                <w:b/>
                <w:bCs/>
              </w:rPr>
              <w:t xml:space="preserve">Module C: </w:t>
            </w:r>
            <w:r w:rsidR="00FB279B" w:rsidRPr="000A0C12">
              <w:rPr>
                <w:b/>
                <w:bCs/>
              </w:rPr>
              <w:t>Planning and deliver</w:t>
            </w:r>
            <w:r w:rsidR="00693B1E">
              <w:rPr>
                <w:b/>
                <w:bCs/>
              </w:rPr>
              <w:t>ing</w:t>
            </w:r>
          </w:p>
          <w:p w14:paraId="48FC35A9" w14:textId="77777777" w:rsidR="00FB279B" w:rsidRPr="000A0C12" w:rsidRDefault="00FB279B" w:rsidP="00053A0D">
            <w:pPr>
              <w:rPr>
                <w:b/>
                <w:bCs/>
              </w:rPr>
            </w:pPr>
          </w:p>
        </w:tc>
        <w:tc>
          <w:tcPr>
            <w:tcW w:w="6753" w:type="dxa"/>
          </w:tcPr>
          <w:p w14:paraId="0EA36758" w14:textId="6B960FB3" w:rsidR="00FB279B" w:rsidRDefault="00BF3C92" w:rsidP="00E5416F">
            <w:pPr>
              <w:jc w:val="left"/>
            </w:pPr>
            <w:r>
              <w:t xml:space="preserve">In </w:t>
            </w:r>
            <w:r w:rsidR="00E5416F">
              <w:t>M</w:t>
            </w:r>
            <w:r w:rsidR="00EE0F61">
              <w:t xml:space="preserve">odule C the focus is on the role of instructional explanations in </w:t>
            </w:r>
            <w:r w:rsidR="00A51EF6">
              <w:t>example-based</w:t>
            </w:r>
            <w:r w:rsidR="00EE0F61">
              <w:t xml:space="preserve"> learning, </w:t>
            </w:r>
            <w:r w:rsidR="00797E29">
              <w:t xml:space="preserve">the effects of different types of scaffolding in the classroom and becoming a self-regulated learner. </w:t>
            </w:r>
            <w:r w:rsidR="00EE0F61">
              <w:t xml:space="preserve"> </w:t>
            </w:r>
          </w:p>
        </w:tc>
      </w:tr>
      <w:tr w:rsidR="00FB279B" w14:paraId="78CE0BBB" w14:textId="77777777" w:rsidTr="00E33378">
        <w:tc>
          <w:tcPr>
            <w:tcW w:w="2263" w:type="dxa"/>
            <w:shd w:val="clear" w:color="auto" w:fill="005742" w:themeFill="accent1" w:themeFillShade="BF"/>
          </w:tcPr>
          <w:p w14:paraId="68876710" w14:textId="57EEC48C" w:rsidR="00FB279B" w:rsidRPr="000A0C12" w:rsidRDefault="000A0C12" w:rsidP="00FB279B">
            <w:pPr>
              <w:jc w:val="left"/>
              <w:rPr>
                <w:b/>
                <w:bCs/>
              </w:rPr>
            </w:pPr>
            <w:r>
              <w:rPr>
                <w:b/>
                <w:bCs/>
              </w:rPr>
              <w:t xml:space="preserve">Module D: </w:t>
            </w:r>
            <w:r w:rsidR="00FB279B" w:rsidRPr="000A0C12">
              <w:rPr>
                <w:b/>
                <w:bCs/>
              </w:rPr>
              <w:t>Subject and curriculum</w:t>
            </w:r>
          </w:p>
          <w:p w14:paraId="45FE580B" w14:textId="77777777" w:rsidR="00FB279B" w:rsidRPr="000A0C12" w:rsidRDefault="00FB279B" w:rsidP="00053A0D">
            <w:pPr>
              <w:rPr>
                <w:b/>
                <w:bCs/>
              </w:rPr>
            </w:pPr>
          </w:p>
        </w:tc>
        <w:tc>
          <w:tcPr>
            <w:tcW w:w="6753" w:type="dxa"/>
          </w:tcPr>
          <w:p w14:paraId="7044560F" w14:textId="5160152A" w:rsidR="000A0C12" w:rsidRPr="000A0C12" w:rsidRDefault="00253AF2" w:rsidP="00E5416F">
            <w:pPr>
              <w:jc w:val="left"/>
            </w:pPr>
            <w:r>
              <w:t>The focus</w:t>
            </w:r>
            <w:r w:rsidR="005E5695">
              <w:t xml:space="preserve"> in</w:t>
            </w:r>
            <w:r>
              <w:t xml:space="preserve"> </w:t>
            </w:r>
            <w:r w:rsidR="00E5416F">
              <w:t>M</w:t>
            </w:r>
            <w:r>
              <w:t xml:space="preserve">odule </w:t>
            </w:r>
            <w:r w:rsidR="005E5695">
              <w:t xml:space="preserve">D </w:t>
            </w:r>
            <w:r>
              <w:t>is on d</w:t>
            </w:r>
            <w:r w:rsidR="000A0C12" w:rsidRPr="000A0C12">
              <w:t>eveloping pupil expertise</w:t>
            </w:r>
            <w:r w:rsidR="00500CB3">
              <w:t xml:space="preserve"> through building different types of knowledge, anticipating and</w:t>
            </w:r>
            <w:r w:rsidR="000A0C12" w:rsidRPr="000A0C12">
              <w:t xml:space="preserve"> addressing misconceptions</w:t>
            </w:r>
            <w:r w:rsidR="00500CB3">
              <w:t xml:space="preserve"> and </w:t>
            </w:r>
            <w:r w:rsidR="000A0C12" w:rsidRPr="000A0C12">
              <w:t xml:space="preserve">teaching </w:t>
            </w:r>
            <w:r w:rsidR="00500CB3">
              <w:t>of</w:t>
            </w:r>
            <w:r w:rsidR="000A0C12" w:rsidRPr="000A0C12">
              <w:t xml:space="preserve"> critical thinking</w:t>
            </w:r>
            <w:r w:rsidR="00500CB3">
              <w:t>.</w:t>
            </w:r>
          </w:p>
          <w:p w14:paraId="4984701E" w14:textId="77777777" w:rsidR="00FB279B" w:rsidRDefault="00FB279B" w:rsidP="00E5416F">
            <w:pPr>
              <w:jc w:val="left"/>
            </w:pPr>
          </w:p>
        </w:tc>
      </w:tr>
      <w:tr w:rsidR="00FB279B" w14:paraId="3CC05725" w14:textId="77777777" w:rsidTr="00E33378">
        <w:tc>
          <w:tcPr>
            <w:tcW w:w="2263" w:type="dxa"/>
            <w:shd w:val="clear" w:color="auto" w:fill="005742" w:themeFill="accent1" w:themeFillShade="BF"/>
          </w:tcPr>
          <w:p w14:paraId="41D930B0" w14:textId="7B1BC88C" w:rsidR="00FB279B" w:rsidRPr="000A0C12" w:rsidRDefault="000A0C12" w:rsidP="00FB279B">
            <w:pPr>
              <w:jc w:val="left"/>
              <w:rPr>
                <w:b/>
                <w:bCs/>
              </w:rPr>
            </w:pPr>
            <w:r>
              <w:rPr>
                <w:b/>
                <w:bCs/>
              </w:rPr>
              <w:lastRenderedPageBreak/>
              <w:t xml:space="preserve">Module E: </w:t>
            </w:r>
            <w:r w:rsidR="00FB279B" w:rsidRPr="000A0C12">
              <w:rPr>
                <w:b/>
                <w:bCs/>
              </w:rPr>
              <w:t>Assess</w:t>
            </w:r>
            <w:r w:rsidR="00693B1E">
              <w:rPr>
                <w:b/>
                <w:bCs/>
              </w:rPr>
              <w:t>ing</w:t>
            </w:r>
            <w:r w:rsidR="00FB279B" w:rsidRPr="000A0C12">
              <w:rPr>
                <w:b/>
                <w:bCs/>
              </w:rPr>
              <w:t xml:space="preserve"> learning</w:t>
            </w:r>
          </w:p>
          <w:p w14:paraId="13A50729" w14:textId="77777777" w:rsidR="00FB279B" w:rsidRPr="000A0C12" w:rsidRDefault="00FB279B" w:rsidP="00053A0D">
            <w:pPr>
              <w:rPr>
                <w:b/>
                <w:bCs/>
              </w:rPr>
            </w:pPr>
          </w:p>
        </w:tc>
        <w:tc>
          <w:tcPr>
            <w:tcW w:w="6753" w:type="dxa"/>
          </w:tcPr>
          <w:p w14:paraId="4994D4C8" w14:textId="3A63DA9E" w:rsidR="000A0C12" w:rsidRPr="000A0C12" w:rsidRDefault="00BF65E6" w:rsidP="00E5416F">
            <w:pPr>
              <w:jc w:val="left"/>
            </w:pPr>
            <w:r>
              <w:t xml:space="preserve">In </w:t>
            </w:r>
            <w:r w:rsidR="00E5416F">
              <w:t xml:space="preserve">this module, </w:t>
            </w:r>
            <w:r>
              <w:t>the focus turns to assessing learn</w:t>
            </w:r>
            <w:r w:rsidR="00AB2DFB">
              <w:t>ing focusing on u</w:t>
            </w:r>
            <w:r w:rsidR="000A0C12" w:rsidRPr="000A0C12">
              <w:t xml:space="preserve">nderstanding formative assessment, </w:t>
            </w:r>
            <w:r w:rsidR="00AB2DFB">
              <w:t xml:space="preserve">the power of </w:t>
            </w:r>
            <w:r w:rsidR="000A0C12" w:rsidRPr="000A0C12">
              <w:t>effective feedback</w:t>
            </w:r>
            <w:r w:rsidR="00AB2DFB">
              <w:t xml:space="preserve"> and</w:t>
            </w:r>
            <w:r w:rsidR="000A0C12" w:rsidRPr="000A0C12">
              <w:t xml:space="preserve"> using formative assessment to develop self-regulation</w:t>
            </w:r>
            <w:r w:rsidR="00AB2DFB">
              <w:t>.</w:t>
            </w:r>
          </w:p>
          <w:p w14:paraId="3D107E0C" w14:textId="77777777" w:rsidR="00FB279B" w:rsidRDefault="00FB279B" w:rsidP="00E5416F">
            <w:pPr>
              <w:jc w:val="left"/>
            </w:pPr>
          </w:p>
        </w:tc>
      </w:tr>
      <w:tr w:rsidR="00FB279B" w14:paraId="4DBC279E" w14:textId="77777777" w:rsidTr="00E33378">
        <w:tc>
          <w:tcPr>
            <w:tcW w:w="2263" w:type="dxa"/>
            <w:shd w:val="clear" w:color="auto" w:fill="005742" w:themeFill="accent1" w:themeFillShade="BF"/>
          </w:tcPr>
          <w:p w14:paraId="39DBF68A" w14:textId="13EC8809" w:rsidR="00FB279B" w:rsidRPr="000A0C12" w:rsidRDefault="000A0C12" w:rsidP="00FB279B">
            <w:pPr>
              <w:jc w:val="left"/>
              <w:rPr>
                <w:b/>
                <w:bCs/>
              </w:rPr>
            </w:pPr>
            <w:r>
              <w:rPr>
                <w:b/>
                <w:bCs/>
              </w:rPr>
              <w:t xml:space="preserve">Module F: </w:t>
            </w:r>
            <w:r w:rsidR="00FB279B" w:rsidRPr="000A0C12">
              <w:rPr>
                <w:b/>
                <w:bCs/>
              </w:rPr>
              <w:t>Knowing your learners</w:t>
            </w:r>
          </w:p>
        </w:tc>
        <w:tc>
          <w:tcPr>
            <w:tcW w:w="6753" w:type="dxa"/>
          </w:tcPr>
          <w:p w14:paraId="468DECA4" w14:textId="3FB6B15A" w:rsidR="00FB279B" w:rsidRDefault="004408D9" w:rsidP="00E5416F">
            <w:pPr>
              <w:jc w:val="left"/>
            </w:pPr>
            <w:r>
              <w:t xml:space="preserve">Module F focuses on </w:t>
            </w:r>
            <w:r w:rsidR="001F6A91">
              <w:t xml:space="preserve">knowing your learners, specifically looking at </w:t>
            </w:r>
            <w:r w:rsidR="00724A9C">
              <w:t xml:space="preserve">how different types of special education needs and disabilities may present in pupils, including </w:t>
            </w:r>
            <w:r w:rsidR="001534B8">
              <w:t>communication</w:t>
            </w:r>
            <w:r w:rsidR="00724A9C">
              <w:t xml:space="preserve"> and interaction, cognition and leaning, behavioural, </w:t>
            </w:r>
            <w:r w:rsidR="001534B8">
              <w:t>emotional</w:t>
            </w:r>
            <w:r w:rsidR="00724A9C">
              <w:t xml:space="preserve"> and social </w:t>
            </w:r>
            <w:r w:rsidR="001534B8">
              <w:t>development</w:t>
            </w:r>
            <w:r w:rsidR="00724A9C">
              <w:t xml:space="preserve"> and sensory and or physical needs. </w:t>
            </w:r>
            <w:r w:rsidR="001F6A91">
              <w:t xml:space="preserve"> </w:t>
            </w:r>
          </w:p>
        </w:tc>
      </w:tr>
    </w:tbl>
    <w:p w14:paraId="475CBEA5" w14:textId="77777777" w:rsidR="008D3FA5" w:rsidRDefault="008D3FA5" w:rsidP="000A0C12">
      <w:pPr>
        <w:jc w:val="left"/>
      </w:pPr>
    </w:p>
    <w:p w14:paraId="0A33CB82" w14:textId="2022DA76" w:rsidR="00FC10C3" w:rsidRDefault="008D3FA5" w:rsidP="00E21CD8">
      <w:r>
        <w:t xml:space="preserve">Provide ECTs with an opportunity to reflect upon the importance of </w:t>
      </w:r>
      <w:r w:rsidR="003048EA">
        <w:t>developing</w:t>
      </w:r>
      <w:r>
        <w:t xml:space="preserve"> integrated practice</w:t>
      </w:r>
      <w:r w:rsidR="003048EA">
        <w:t xml:space="preserve">, encouraging them to make links between each of the different domain within the ITTECF. </w:t>
      </w:r>
      <w:r w:rsidR="003048EA" w:rsidRPr="003048EA">
        <w:rPr>
          <w:lang w:val="en-US"/>
        </w:rPr>
        <w:t xml:space="preserve">This will ultimately lead to integrated practice whereby all the components are holistically applied in a seamless way through their teaching. </w:t>
      </w:r>
      <w:r w:rsidR="003048EA">
        <w:rPr>
          <w:lang w:val="en-US"/>
        </w:rPr>
        <w:t xml:space="preserve">Reinforce with ECTs that </w:t>
      </w:r>
      <w:r w:rsidR="007B2928">
        <w:rPr>
          <w:lang w:val="en-US"/>
        </w:rPr>
        <w:t>y</w:t>
      </w:r>
      <w:r w:rsidR="003048EA">
        <w:rPr>
          <w:lang w:val="en-US"/>
        </w:rPr>
        <w:t xml:space="preserve">ear 2 of the programme </w:t>
      </w:r>
      <w:r w:rsidR="00E21CD8">
        <w:rPr>
          <w:lang w:val="en-US"/>
        </w:rPr>
        <w:t xml:space="preserve">should focus on how they are continuing to integrate the different building block of their training and practice into a more cohesive and confident approach. </w:t>
      </w:r>
    </w:p>
    <w:tbl>
      <w:tblPr>
        <w:tblStyle w:val="TableGrid"/>
        <w:tblW w:w="0" w:type="auto"/>
        <w:shd w:val="clear" w:color="auto" w:fill="FDF1FC"/>
        <w:tblLook w:val="04A0" w:firstRow="1" w:lastRow="0" w:firstColumn="1" w:lastColumn="0" w:noHBand="0" w:noVBand="1"/>
      </w:tblPr>
      <w:tblGrid>
        <w:gridCol w:w="9006"/>
      </w:tblGrid>
      <w:tr w:rsidR="00F87EF5" w14:paraId="6A95D998" w14:textId="77777777" w:rsidTr="00033F0C">
        <w:tc>
          <w:tcPr>
            <w:tcW w:w="9016" w:type="dxa"/>
            <w:tcBorders>
              <w:top w:val="single" w:sz="8" w:space="0" w:color="FF0000"/>
              <w:left w:val="single" w:sz="8" w:space="0" w:color="FF0000"/>
              <w:bottom w:val="single" w:sz="8" w:space="0" w:color="FF0000"/>
              <w:right w:val="single" w:sz="8" w:space="0" w:color="FF0000"/>
            </w:tcBorders>
            <w:shd w:val="clear" w:color="auto" w:fill="FDF1FC"/>
          </w:tcPr>
          <w:p w14:paraId="1D9EA7BE" w14:textId="253BF7C8" w:rsidR="00F87EF5" w:rsidRPr="00E405C0" w:rsidRDefault="002928B6" w:rsidP="00053FD1">
            <w:pPr>
              <w:spacing w:line="276" w:lineRule="auto"/>
              <w:rPr>
                <w:b/>
                <w:bCs/>
                <w:color w:val="FF0000"/>
              </w:rPr>
            </w:pPr>
            <w:r w:rsidRPr="002928B6">
              <w:rPr>
                <w:color w:val="FF0000"/>
              </w:rPr>
              <w:t xml:space="preserve">Any particular school documentation could be highlighted at this stage. </w:t>
            </w:r>
            <w:r>
              <w:rPr>
                <w:color w:val="FF0000"/>
              </w:rPr>
              <w:t>As outlined in the Programme Guidance, s</w:t>
            </w:r>
            <w:r w:rsidRPr="002928B6">
              <w:rPr>
                <w:color w:val="FF0000"/>
              </w:rPr>
              <w:t xml:space="preserve">chools may wish to deliver the modules in a different sequence to align with the school or trust’s professional development priorities. However, all ECTs must start with ‘Behaviour and relationships’ to support them to establish a positive, structured learning environment that fosters pupil engagement, wellbeing, and academic success at the very start of the academic year. </w:t>
            </w:r>
          </w:p>
        </w:tc>
      </w:tr>
    </w:tbl>
    <w:p w14:paraId="58386450" w14:textId="77777777" w:rsidR="00E405C0" w:rsidRDefault="00E405C0" w:rsidP="00053FD1">
      <w:pPr>
        <w:jc w:val="left"/>
      </w:pPr>
    </w:p>
    <w:p w14:paraId="2A49E493" w14:textId="04FC2587" w:rsidR="007A3FB5" w:rsidRDefault="00077B32" w:rsidP="00EE68DB">
      <w:pPr>
        <w:jc w:val="left"/>
      </w:pPr>
      <w:r>
        <w:t xml:space="preserve">Provide ECTs with guidance around </w:t>
      </w:r>
      <w:r w:rsidR="00EE68DB" w:rsidRPr="00EE68DB">
        <w:t xml:space="preserve">completing their </w:t>
      </w:r>
      <w:r w:rsidR="008C33CD">
        <w:t>ECT</w:t>
      </w:r>
      <w:r w:rsidR="00EE68DB" w:rsidRPr="00EE68DB">
        <w:t xml:space="preserve"> course materials</w:t>
      </w:r>
      <w:r w:rsidR="00053A0D">
        <w:t xml:space="preserve">, </w:t>
      </w:r>
      <w:r w:rsidR="00EE68DB" w:rsidRPr="00EE68DB">
        <w:t>includ</w:t>
      </w:r>
      <w:r w:rsidR="00053A0D">
        <w:t>ing</w:t>
      </w:r>
      <w:r w:rsidR="00EE68DB" w:rsidRPr="00EE68DB">
        <w:t xml:space="preserve"> self-studies, attending seminars as well as their regular mentor meetings</w:t>
      </w:r>
      <w:r w:rsidR="00EE68DB">
        <w:t>.</w:t>
      </w:r>
      <w:r w:rsidR="00450093">
        <w:t xml:space="preserve"> </w:t>
      </w:r>
    </w:p>
    <w:p w14:paraId="1A1E4773" w14:textId="3567851A" w:rsidR="00450093" w:rsidRPr="00450093" w:rsidRDefault="00450093" w:rsidP="00EE68DB">
      <w:pPr>
        <w:jc w:val="left"/>
        <w:rPr>
          <w:szCs w:val="24"/>
        </w:rPr>
      </w:pPr>
      <w:r w:rsidRPr="002811FB">
        <w:rPr>
          <w:szCs w:val="24"/>
        </w:rPr>
        <w:t xml:space="preserve">See </w:t>
      </w:r>
      <w:hyperlink w:anchor="Appendix" w:history="1">
        <w:r w:rsidR="00A226F8">
          <w:rPr>
            <w:rStyle w:val="Hyperlink"/>
            <w:color w:val="0070C0"/>
            <w:szCs w:val="24"/>
          </w:rPr>
          <w:t>Appe</w:t>
        </w:r>
        <w:r w:rsidR="00A226F8">
          <w:rPr>
            <w:rStyle w:val="Hyperlink"/>
            <w:color w:val="0070C0"/>
            <w:szCs w:val="24"/>
          </w:rPr>
          <w:t>n</w:t>
        </w:r>
        <w:r w:rsidR="00A226F8">
          <w:rPr>
            <w:rStyle w:val="Hyperlink"/>
            <w:color w:val="0070C0"/>
            <w:szCs w:val="24"/>
          </w:rPr>
          <w:t>dix</w:t>
        </w:r>
      </w:hyperlink>
      <w:r w:rsidRPr="00BD1D42">
        <w:rPr>
          <w:color w:val="0070C0"/>
          <w:szCs w:val="24"/>
        </w:rPr>
        <w:t xml:space="preserve"> </w:t>
      </w:r>
      <w:r w:rsidRPr="002811FB">
        <w:rPr>
          <w:szCs w:val="24"/>
        </w:rPr>
        <w:t>for more informat</w:t>
      </w:r>
      <w:r>
        <w:rPr>
          <w:szCs w:val="24"/>
        </w:rPr>
        <w:t>ion.</w:t>
      </w:r>
    </w:p>
    <w:p w14:paraId="7DBFC863" w14:textId="5042AA90" w:rsidR="007A3FB5" w:rsidRPr="007A3FB5" w:rsidRDefault="007A3FB5" w:rsidP="00743B72">
      <w:pPr>
        <w:pStyle w:val="Subheading"/>
      </w:pPr>
      <w:r w:rsidRPr="007A3FB5">
        <w:t xml:space="preserve">Section 2: </w:t>
      </w:r>
      <w:r w:rsidR="00A226F8">
        <w:t>Thinking critically about research</w:t>
      </w:r>
    </w:p>
    <w:p w14:paraId="0D168DBB" w14:textId="775AC115" w:rsidR="007A3FB5" w:rsidRDefault="007A3FB5">
      <w:pPr>
        <w:rPr>
          <w:b/>
          <w:bCs/>
        </w:rPr>
      </w:pPr>
      <w:r>
        <w:rPr>
          <w:b/>
          <w:bCs/>
        </w:rPr>
        <w:t xml:space="preserve">Timing: </w:t>
      </w:r>
      <w:r w:rsidR="00C04567">
        <w:rPr>
          <w:b/>
          <w:bCs/>
        </w:rPr>
        <w:t>4</w:t>
      </w:r>
      <w:r w:rsidR="00E06A36">
        <w:rPr>
          <w:b/>
          <w:bCs/>
        </w:rPr>
        <w:t>5</w:t>
      </w:r>
      <w:r w:rsidR="00C40FF3">
        <w:rPr>
          <w:b/>
          <w:bCs/>
        </w:rPr>
        <w:t xml:space="preserve"> </w:t>
      </w:r>
      <w:r>
        <w:rPr>
          <w:b/>
          <w:bCs/>
        </w:rPr>
        <w:t xml:space="preserve">minutes </w:t>
      </w:r>
      <w:r w:rsidR="00C04567">
        <w:rPr>
          <w:b/>
          <w:bCs/>
        </w:rPr>
        <w:t>(including break)</w:t>
      </w:r>
    </w:p>
    <w:p w14:paraId="5C25DA74" w14:textId="51F34302" w:rsidR="00C85E19" w:rsidRDefault="007A3FB5" w:rsidP="008B4EE3">
      <w:r>
        <w:t xml:space="preserve">The </w:t>
      </w:r>
      <w:r w:rsidR="00B231A6">
        <w:t>second</w:t>
      </w:r>
      <w:r>
        <w:t xml:space="preserve"> section of the seminar </w:t>
      </w:r>
      <w:r w:rsidR="009B140B">
        <w:rPr>
          <w:lang w:val="en-US"/>
        </w:rPr>
        <w:t xml:space="preserve">will continue to develop the </w:t>
      </w:r>
      <w:r w:rsidR="009B140B" w:rsidRPr="009B140B">
        <w:t>ECTs’ understanding of how to engage critically with different types of research evidence, using tools such as the CLAIMS model, so they can apply evidence more effectively to inform and improve their classroom practice. </w:t>
      </w:r>
    </w:p>
    <w:p w14:paraId="33D0AAB3" w14:textId="77777777" w:rsidR="00387333" w:rsidRDefault="00387333" w:rsidP="008B4EE3"/>
    <w:p w14:paraId="6CE1BE8E" w14:textId="77777777" w:rsidR="00387333" w:rsidRPr="008B4EE3" w:rsidRDefault="00387333" w:rsidP="008B4EE3"/>
    <w:p w14:paraId="0387FFED" w14:textId="49805ABD" w:rsidR="007A3FB5" w:rsidRDefault="006B48C2" w:rsidP="00C85E19">
      <w:pPr>
        <w:jc w:val="left"/>
        <w:rPr>
          <w:b/>
          <w:bCs/>
        </w:rPr>
      </w:pPr>
      <w:r>
        <w:rPr>
          <w:b/>
          <w:bCs/>
        </w:rPr>
        <w:lastRenderedPageBreak/>
        <w:t xml:space="preserve">Suggested activity </w:t>
      </w:r>
    </w:p>
    <w:p w14:paraId="709F40E8" w14:textId="0E0BC9A2" w:rsidR="000B6C06" w:rsidRPr="000B6C06" w:rsidRDefault="006071DE" w:rsidP="000B6C06">
      <w:pPr>
        <w:rPr>
          <w:i/>
          <w:iCs/>
        </w:rPr>
      </w:pPr>
      <w:r>
        <w:t xml:space="preserve">Begin with a quotation from </w:t>
      </w:r>
      <w:r w:rsidR="00321707">
        <w:t xml:space="preserve">Using Research Evidence: A Concise Guide from </w:t>
      </w:r>
      <w:r>
        <w:t>the</w:t>
      </w:r>
      <w:r w:rsidR="00B426FF">
        <w:t xml:space="preserve"> </w:t>
      </w:r>
      <w:r w:rsidR="008B4EE3">
        <w:t>Education Endowment Foundation</w:t>
      </w:r>
      <w:r w:rsidR="00B426FF">
        <w:t xml:space="preserve"> </w:t>
      </w:r>
      <w:r w:rsidR="005A74ED">
        <w:t>(2024)</w:t>
      </w:r>
      <w:r w:rsidR="00B426FF">
        <w:t xml:space="preserve"> </w:t>
      </w:r>
      <w:r>
        <w:t xml:space="preserve">to engage ECTs </w:t>
      </w:r>
      <w:r w:rsidR="009359AE">
        <w:t xml:space="preserve">with the </w:t>
      </w:r>
      <w:r w:rsidR="00261A10">
        <w:t xml:space="preserve">idea of </w:t>
      </w:r>
      <w:r w:rsidR="008B4EE3">
        <w:t>the importance of evidence informed practice</w:t>
      </w:r>
      <w:r w:rsidR="009359AE">
        <w:t xml:space="preserve">: </w:t>
      </w:r>
      <w:r w:rsidR="000B6C06" w:rsidRPr="000B6C06">
        <w:t>“While reading and evaluating research evidence can provide excellent insights into what has worked in the past, this alone is unlikely to improve practice and pupil outcomes. For improvements to be made, we need to actively apply research evidence by making changes to what we do.”</w:t>
      </w:r>
    </w:p>
    <w:p w14:paraId="66AAE747" w14:textId="39B8D3A9" w:rsidR="00F40C85" w:rsidRDefault="000F2BDB" w:rsidP="0082109C">
      <w:pPr>
        <w:jc w:val="left"/>
      </w:pPr>
      <w:r>
        <w:t xml:space="preserve">Allow time for ECTS to reflect </w:t>
      </w:r>
      <w:r w:rsidR="0046124B">
        <w:t>on what is meant by ‘</w:t>
      </w:r>
      <w:r w:rsidR="006F317F">
        <w:t>evidence informed practice’</w:t>
      </w:r>
      <w:r w:rsidR="0046124B">
        <w:t xml:space="preserve"> and discuss with colleagues</w:t>
      </w:r>
      <w:r w:rsidR="00D11BE4">
        <w:t xml:space="preserve"> and to reflect upon the different types of research they will come across:</w:t>
      </w:r>
    </w:p>
    <w:p w14:paraId="567288DD" w14:textId="2DFB2F8D" w:rsidR="00D11BE4" w:rsidRDefault="00D11BE4" w:rsidP="00936B43">
      <w:pPr>
        <w:pStyle w:val="ListParagraph"/>
        <w:numPr>
          <w:ilvl w:val="0"/>
          <w:numId w:val="5"/>
        </w:numPr>
        <w:jc w:val="left"/>
      </w:pPr>
      <w:r>
        <w:t>Case studies</w:t>
      </w:r>
    </w:p>
    <w:p w14:paraId="1DF354BB" w14:textId="22E77ADE" w:rsidR="00D11BE4" w:rsidRDefault="00D11BE4" w:rsidP="00936B43">
      <w:pPr>
        <w:pStyle w:val="ListParagraph"/>
        <w:numPr>
          <w:ilvl w:val="0"/>
          <w:numId w:val="5"/>
        </w:numPr>
        <w:jc w:val="left"/>
      </w:pPr>
      <w:r>
        <w:t>Systematic reviews</w:t>
      </w:r>
    </w:p>
    <w:p w14:paraId="5BB01CAD" w14:textId="30962AC6" w:rsidR="00D11BE4" w:rsidRDefault="00D11BE4" w:rsidP="00936B43">
      <w:pPr>
        <w:pStyle w:val="ListParagraph"/>
        <w:numPr>
          <w:ilvl w:val="0"/>
          <w:numId w:val="5"/>
        </w:numPr>
        <w:jc w:val="left"/>
      </w:pPr>
      <w:r>
        <w:t>Surveys and interviews</w:t>
      </w:r>
    </w:p>
    <w:p w14:paraId="255EE602" w14:textId="7C21FB95" w:rsidR="00D11BE4" w:rsidRDefault="00D11BE4" w:rsidP="00936B43">
      <w:pPr>
        <w:pStyle w:val="ListParagraph"/>
        <w:numPr>
          <w:ilvl w:val="0"/>
          <w:numId w:val="5"/>
        </w:numPr>
        <w:jc w:val="left"/>
      </w:pPr>
      <w:r>
        <w:t>Secondary data analysis</w:t>
      </w:r>
    </w:p>
    <w:p w14:paraId="04A6C52F" w14:textId="4A67DC00" w:rsidR="00D11BE4" w:rsidRDefault="00D11BE4" w:rsidP="00936B43">
      <w:pPr>
        <w:pStyle w:val="ListParagraph"/>
        <w:numPr>
          <w:ilvl w:val="0"/>
          <w:numId w:val="5"/>
        </w:numPr>
        <w:jc w:val="left"/>
      </w:pPr>
      <w:r>
        <w:t>Meta-analyses</w:t>
      </w:r>
    </w:p>
    <w:p w14:paraId="12DAA83B" w14:textId="1CB139E9" w:rsidR="00D11BE4" w:rsidRDefault="00D11BE4" w:rsidP="00936B43">
      <w:pPr>
        <w:pStyle w:val="ListParagraph"/>
        <w:numPr>
          <w:ilvl w:val="0"/>
          <w:numId w:val="5"/>
        </w:numPr>
        <w:jc w:val="left"/>
      </w:pPr>
      <w:r>
        <w:t>Experiments</w:t>
      </w:r>
    </w:p>
    <w:p w14:paraId="530D1546" w14:textId="0DC36FA4" w:rsidR="00433614" w:rsidRPr="00433614" w:rsidRDefault="00BF15E8" w:rsidP="00433614">
      <w:r>
        <w:t xml:space="preserve">Encourage the ECTs to reflect upon where they have engaged with different types of research so far and </w:t>
      </w:r>
      <w:r w:rsidR="00433614" w:rsidRPr="00433614">
        <w:t>why and how it has (or has not) influenced their classroom practice</w:t>
      </w:r>
      <w:r w:rsidR="00433614" w:rsidRPr="00433614">
        <w:rPr>
          <w:b/>
          <w:bCs/>
        </w:rPr>
        <w:t>.</w:t>
      </w:r>
      <w:r w:rsidR="00433614" w:rsidRPr="00433614">
        <w:t xml:space="preserve"> </w:t>
      </w:r>
      <w:r w:rsidR="00433614">
        <w:t>R</w:t>
      </w:r>
      <w:r>
        <w:t xml:space="preserve">emind them that </w:t>
      </w:r>
      <w:r w:rsidR="00433614" w:rsidRPr="00433614">
        <w:t xml:space="preserve">opportunities to draw on a wider range of evidence will continue to grow as they develop their practice. </w:t>
      </w:r>
    </w:p>
    <w:p w14:paraId="12CC6F58" w14:textId="747365DB" w:rsidR="00BF15E8" w:rsidRDefault="009C43F4" w:rsidP="0037434A">
      <w:pPr>
        <w:jc w:val="left"/>
      </w:pPr>
      <w:r>
        <w:t xml:space="preserve">Remind ECTs of the CLAIMS model </w:t>
      </w:r>
      <w:r w:rsidR="00004012">
        <w:t xml:space="preserve">shared within their self-study material. This could be set up as a retrieval activity. See </w:t>
      </w:r>
      <w:hyperlink w:anchor="Appendix" w:history="1">
        <w:r w:rsidR="00004012" w:rsidRPr="00DE3E3E">
          <w:rPr>
            <w:rStyle w:val="Hyperlink"/>
            <w:color w:val="0070C0"/>
          </w:rPr>
          <w:t>Appendix</w:t>
        </w:r>
      </w:hyperlink>
      <w:r w:rsidR="00004012">
        <w:t xml:space="preserve"> for more information. </w:t>
      </w:r>
    </w:p>
    <w:p w14:paraId="4100881D" w14:textId="471655CE" w:rsidR="00DD4D71" w:rsidRDefault="00CC2931" w:rsidP="0037434A">
      <w:pPr>
        <w:jc w:val="left"/>
      </w:pPr>
      <w:r>
        <w:t xml:space="preserve">Share an example from a research paper with ECTs. An example has been provided in the </w:t>
      </w:r>
      <w:hyperlink w:anchor="Appendix" w:history="1">
        <w:r w:rsidRPr="00DE3E3E">
          <w:rPr>
            <w:rStyle w:val="Hyperlink"/>
            <w:color w:val="0070C0"/>
          </w:rPr>
          <w:t>Appendix.</w:t>
        </w:r>
      </w:hyperlink>
      <w:r>
        <w:t xml:space="preserve"> </w:t>
      </w:r>
      <w:r w:rsidR="00A7642E">
        <w:t>(Please note the example is a fictional extract)</w:t>
      </w:r>
    </w:p>
    <w:tbl>
      <w:tblPr>
        <w:tblStyle w:val="TableGrid"/>
        <w:tblW w:w="0" w:type="auto"/>
        <w:shd w:val="clear" w:color="auto" w:fill="FDF1FC"/>
        <w:tblLook w:val="04A0" w:firstRow="1" w:lastRow="0" w:firstColumn="1" w:lastColumn="0" w:noHBand="0" w:noVBand="1"/>
      </w:tblPr>
      <w:tblGrid>
        <w:gridCol w:w="9006"/>
      </w:tblGrid>
      <w:tr w:rsidR="0091194C" w14:paraId="378BD2A5" w14:textId="77777777" w:rsidTr="007C719E">
        <w:tc>
          <w:tcPr>
            <w:tcW w:w="9016" w:type="dxa"/>
            <w:tcBorders>
              <w:top w:val="single" w:sz="8" w:space="0" w:color="FF0000"/>
              <w:left w:val="single" w:sz="8" w:space="0" w:color="FF0000"/>
              <w:bottom w:val="single" w:sz="8" w:space="0" w:color="FF0000"/>
              <w:right w:val="single" w:sz="8" w:space="0" w:color="FF0000"/>
            </w:tcBorders>
            <w:shd w:val="clear" w:color="auto" w:fill="FDF1FC"/>
          </w:tcPr>
          <w:p w14:paraId="298A3E7C" w14:textId="51388DB3" w:rsidR="0091194C" w:rsidRPr="00E405C0" w:rsidRDefault="0091194C" w:rsidP="007C719E">
            <w:pPr>
              <w:spacing w:line="276" w:lineRule="auto"/>
              <w:rPr>
                <w:b/>
                <w:bCs/>
                <w:color w:val="FF0000"/>
              </w:rPr>
            </w:pPr>
            <w:r w:rsidRPr="00DD4D71">
              <w:rPr>
                <w:rStyle w:val="normaltextrun"/>
                <w:color w:val="EE0000"/>
              </w:rPr>
              <w:t>Schools/trusts may wish to include their own example to best suit their needs/context/focus.</w:t>
            </w:r>
          </w:p>
        </w:tc>
      </w:tr>
    </w:tbl>
    <w:p w14:paraId="56D67743" w14:textId="77777777" w:rsidR="00336ACD" w:rsidRDefault="00336ACD" w:rsidP="003E039E">
      <w:pPr>
        <w:rPr>
          <w:rStyle w:val="normaltextrun"/>
        </w:rPr>
      </w:pPr>
    </w:p>
    <w:p w14:paraId="0862C6D1" w14:textId="545187E0" w:rsidR="003E039E" w:rsidRPr="003E039E" w:rsidRDefault="003E039E" w:rsidP="003E039E">
      <w:pPr>
        <w:rPr>
          <w:rStyle w:val="normaltextrun"/>
        </w:rPr>
      </w:pPr>
      <w:r w:rsidRPr="003E039E">
        <w:rPr>
          <w:rStyle w:val="normaltextrun"/>
        </w:rPr>
        <w:t>Give ECTS the opportunity to consider the research paper in relation to the CLAIMS model:</w:t>
      </w:r>
    </w:p>
    <w:p w14:paraId="24CC8560" w14:textId="77777777" w:rsidR="003E039E" w:rsidRPr="003E039E" w:rsidRDefault="003E039E" w:rsidP="00936B43">
      <w:pPr>
        <w:pStyle w:val="ListParagraph"/>
        <w:numPr>
          <w:ilvl w:val="0"/>
          <w:numId w:val="6"/>
        </w:numPr>
      </w:pPr>
      <w:r w:rsidRPr="003E039E">
        <w:t xml:space="preserve">How likely are you to use this research to inform decision-making about your teaching? </w:t>
      </w:r>
    </w:p>
    <w:p w14:paraId="55256E8B" w14:textId="77777777" w:rsidR="003E039E" w:rsidRPr="003E039E" w:rsidRDefault="003E039E" w:rsidP="00936B43">
      <w:pPr>
        <w:pStyle w:val="ListParagraph"/>
        <w:numPr>
          <w:ilvl w:val="0"/>
          <w:numId w:val="6"/>
        </w:numPr>
      </w:pPr>
      <w:r w:rsidRPr="003E039E">
        <w:t xml:space="preserve">Are there any red flags that stand out to you? </w:t>
      </w:r>
    </w:p>
    <w:p w14:paraId="180EACF4" w14:textId="77777777" w:rsidR="003E039E" w:rsidRPr="003E039E" w:rsidRDefault="003E039E" w:rsidP="00936B43">
      <w:pPr>
        <w:pStyle w:val="ListParagraph"/>
        <w:numPr>
          <w:ilvl w:val="0"/>
          <w:numId w:val="6"/>
        </w:numPr>
      </w:pPr>
      <w:r w:rsidRPr="003E039E">
        <w:t xml:space="preserve">What further information do you need to inform your choices about this paper? </w:t>
      </w:r>
    </w:p>
    <w:tbl>
      <w:tblPr>
        <w:tblStyle w:val="TableGrid"/>
        <w:tblW w:w="0" w:type="auto"/>
        <w:shd w:val="clear" w:color="auto" w:fill="FDF1FC"/>
        <w:tblLook w:val="04A0" w:firstRow="1" w:lastRow="0" w:firstColumn="1" w:lastColumn="0" w:noHBand="0" w:noVBand="1"/>
      </w:tblPr>
      <w:tblGrid>
        <w:gridCol w:w="9006"/>
      </w:tblGrid>
      <w:tr w:rsidR="0091194C" w14:paraId="0922EF28" w14:textId="77777777" w:rsidTr="007C719E">
        <w:tc>
          <w:tcPr>
            <w:tcW w:w="9016" w:type="dxa"/>
            <w:tcBorders>
              <w:top w:val="single" w:sz="8" w:space="0" w:color="FF0000"/>
              <w:left w:val="single" w:sz="8" w:space="0" w:color="FF0000"/>
              <w:bottom w:val="single" w:sz="8" w:space="0" w:color="FF0000"/>
              <w:right w:val="single" w:sz="8" w:space="0" w:color="FF0000"/>
            </w:tcBorders>
            <w:shd w:val="clear" w:color="auto" w:fill="FDF1FC"/>
          </w:tcPr>
          <w:p w14:paraId="68C113FA" w14:textId="77777777" w:rsidR="0091194C" w:rsidRPr="0091194C" w:rsidRDefault="0091194C" w:rsidP="0091194C">
            <w:pPr>
              <w:jc w:val="left"/>
              <w:rPr>
                <w:rStyle w:val="normaltextrun"/>
                <w:color w:val="EE0000"/>
              </w:rPr>
            </w:pPr>
            <w:r w:rsidRPr="0091194C">
              <w:rPr>
                <w:rStyle w:val="normaltextrun"/>
                <w:color w:val="EE0000"/>
              </w:rPr>
              <w:t>Schools/trusts may wish to include their own questions to best suit their needs/context/focus.</w:t>
            </w:r>
          </w:p>
          <w:p w14:paraId="68330A67" w14:textId="1C3D8DED" w:rsidR="0091194C" w:rsidRPr="0091194C" w:rsidRDefault="0091194C" w:rsidP="0091194C">
            <w:pPr>
              <w:rPr>
                <w:b/>
                <w:bCs/>
                <w:color w:val="FF0000"/>
              </w:rPr>
            </w:pPr>
          </w:p>
        </w:tc>
      </w:tr>
    </w:tbl>
    <w:p w14:paraId="1975E997" w14:textId="77777777" w:rsidR="0091194C" w:rsidRDefault="0091194C" w:rsidP="0091194C"/>
    <w:p w14:paraId="5BE5B352" w14:textId="77777777" w:rsidR="00A40F4F" w:rsidRDefault="00A40F4F" w:rsidP="00A40F4F">
      <w:r w:rsidRPr="009A68D4">
        <w:t>End this section of the session with a summary of the main points</w:t>
      </w:r>
      <w:r>
        <w:t xml:space="preserve">: </w:t>
      </w:r>
    </w:p>
    <w:p w14:paraId="59240E3C" w14:textId="77777777" w:rsidR="00A7642E" w:rsidRPr="00A7642E" w:rsidRDefault="00A7642E" w:rsidP="00936B43">
      <w:pPr>
        <w:pStyle w:val="ListParagraph"/>
        <w:numPr>
          <w:ilvl w:val="0"/>
          <w:numId w:val="2"/>
        </w:numPr>
      </w:pPr>
      <w:r w:rsidRPr="00A7642E">
        <w:t xml:space="preserve">Engaging with research can </w:t>
      </w:r>
      <w:r w:rsidRPr="00A7642E">
        <w:rPr>
          <w:b/>
          <w:bCs/>
        </w:rPr>
        <w:t>support informed decisions</w:t>
      </w:r>
      <w:r w:rsidRPr="00A7642E">
        <w:t xml:space="preserve"> around planning, teaching, assessment and behaviour.</w:t>
      </w:r>
    </w:p>
    <w:p w14:paraId="64649978" w14:textId="78F12D51" w:rsidR="00176B95" w:rsidRDefault="00A7642E" w:rsidP="00936B43">
      <w:pPr>
        <w:pStyle w:val="ListParagraph"/>
        <w:numPr>
          <w:ilvl w:val="0"/>
          <w:numId w:val="2"/>
        </w:numPr>
      </w:pPr>
      <w:r w:rsidRPr="00A7642E">
        <w:t xml:space="preserve">When considering applying research evidence to your practice and context it is useful to use the </w:t>
      </w:r>
      <w:r w:rsidRPr="00A7642E">
        <w:rPr>
          <w:b/>
          <w:bCs/>
        </w:rPr>
        <w:t>CLAIMS</w:t>
      </w:r>
      <w:r w:rsidRPr="00A7642E">
        <w:t xml:space="preserve"> model. </w:t>
      </w:r>
    </w:p>
    <w:p w14:paraId="440B49E0" w14:textId="77777777" w:rsidR="00A7642E" w:rsidRDefault="00A7642E" w:rsidP="00176B95">
      <w:pPr>
        <w:pStyle w:val="ListParagraph"/>
        <w:ind w:left="792"/>
      </w:pPr>
    </w:p>
    <w:p w14:paraId="7E54AE68" w14:textId="6C80BB45" w:rsidR="00242964" w:rsidRPr="007A3FB5" w:rsidRDefault="00242964" w:rsidP="00743B72">
      <w:pPr>
        <w:pStyle w:val="Subheading"/>
      </w:pPr>
      <w:r w:rsidRPr="007A3FB5">
        <w:t xml:space="preserve">Section </w:t>
      </w:r>
      <w:r>
        <w:t>3</w:t>
      </w:r>
      <w:r w:rsidRPr="007A3FB5">
        <w:t xml:space="preserve">: </w:t>
      </w:r>
      <w:r w:rsidR="00C04567">
        <w:t>Taking ownership of your personal professional development</w:t>
      </w:r>
      <w:r w:rsidRPr="007A3FB5">
        <w:t xml:space="preserve"> </w:t>
      </w:r>
    </w:p>
    <w:p w14:paraId="11B3CEAF" w14:textId="27DED19F" w:rsidR="00242964" w:rsidRDefault="00242964" w:rsidP="00242964">
      <w:pPr>
        <w:rPr>
          <w:b/>
          <w:bCs/>
        </w:rPr>
      </w:pPr>
      <w:r>
        <w:rPr>
          <w:b/>
          <w:bCs/>
        </w:rPr>
        <w:t xml:space="preserve">Timing: </w:t>
      </w:r>
      <w:r w:rsidR="007707BE">
        <w:rPr>
          <w:b/>
          <w:bCs/>
        </w:rPr>
        <w:t>4</w:t>
      </w:r>
      <w:r w:rsidR="002244F2">
        <w:rPr>
          <w:b/>
          <w:bCs/>
        </w:rPr>
        <w:t>5</w:t>
      </w:r>
      <w:r w:rsidR="00881971">
        <w:rPr>
          <w:b/>
          <w:bCs/>
        </w:rPr>
        <w:t xml:space="preserve"> </w:t>
      </w:r>
      <w:r>
        <w:rPr>
          <w:b/>
          <w:bCs/>
        </w:rPr>
        <w:t xml:space="preserve">minutes </w:t>
      </w:r>
    </w:p>
    <w:p w14:paraId="3A0CCFA3" w14:textId="2E07D184" w:rsidR="00242964" w:rsidRDefault="00242964" w:rsidP="00954B92">
      <w:pPr>
        <w:jc w:val="left"/>
      </w:pPr>
      <w:r w:rsidRPr="00D55CFE">
        <w:t xml:space="preserve">The </w:t>
      </w:r>
      <w:r w:rsidR="00EE4E64">
        <w:t xml:space="preserve">third section of the seminar </w:t>
      </w:r>
      <w:r w:rsidR="00785516" w:rsidRPr="00785516">
        <w:t>introduces the format of the personal professional development model used by the NIoT and considers how ECTs will engage with that model over the course of year 2</w:t>
      </w:r>
      <w:r w:rsidR="00785516">
        <w:t>.</w:t>
      </w:r>
    </w:p>
    <w:p w14:paraId="241467F5" w14:textId="77777777" w:rsidR="00004453" w:rsidRDefault="00242964" w:rsidP="00004453">
      <w:pPr>
        <w:rPr>
          <w:b/>
          <w:bCs/>
        </w:rPr>
      </w:pPr>
      <w:r>
        <w:rPr>
          <w:b/>
          <w:bCs/>
        </w:rPr>
        <w:t xml:space="preserve">Suggested activity </w:t>
      </w:r>
    </w:p>
    <w:p w14:paraId="7C6B35EA" w14:textId="22EBE342" w:rsidR="00004453" w:rsidRPr="00004453" w:rsidRDefault="00F52B5F" w:rsidP="00004453">
      <w:pPr>
        <w:rPr>
          <w:b/>
          <w:bCs/>
        </w:rPr>
      </w:pPr>
      <w:r>
        <w:t xml:space="preserve">Begin </w:t>
      </w:r>
      <w:r w:rsidR="00EF1F4E">
        <w:t>by sharing the model for personal professional development</w:t>
      </w:r>
      <w:r w:rsidR="00004453">
        <w:t xml:space="preserve">, emphasising that the second year of the ECT programme </w:t>
      </w:r>
      <w:r w:rsidR="00004453" w:rsidRPr="00004453">
        <w:t>In the second year of the ECT programme, a primary focus is empowering ECT’s to take ownership of their professional development journey. Each half term they will focus on a specific domain (element) of teaching.</w:t>
      </w:r>
    </w:p>
    <w:p w14:paraId="12E16B54" w14:textId="77777777" w:rsidR="00F7106C" w:rsidRPr="00450093" w:rsidRDefault="00F7106C" w:rsidP="00F7106C">
      <w:pPr>
        <w:jc w:val="left"/>
        <w:rPr>
          <w:szCs w:val="24"/>
        </w:rPr>
      </w:pPr>
      <w:r w:rsidRPr="002811FB">
        <w:rPr>
          <w:szCs w:val="24"/>
        </w:rPr>
        <w:t xml:space="preserve">See </w:t>
      </w:r>
      <w:hyperlink w:anchor="Appendix" w:history="1">
        <w:r>
          <w:rPr>
            <w:rStyle w:val="Hyperlink"/>
            <w:color w:val="0070C0"/>
            <w:szCs w:val="24"/>
          </w:rPr>
          <w:t>Appendix</w:t>
        </w:r>
      </w:hyperlink>
      <w:r w:rsidRPr="00BD1D42">
        <w:rPr>
          <w:color w:val="0070C0"/>
          <w:szCs w:val="24"/>
        </w:rPr>
        <w:t xml:space="preserve"> </w:t>
      </w:r>
      <w:r w:rsidRPr="002811FB">
        <w:rPr>
          <w:szCs w:val="24"/>
        </w:rPr>
        <w:t>for more informat</w:t>
      </w:r>
      <w:r>
        <w:rPr>
          <w:szCs w:val="24"/>
        </w:rPr>
        <w:t>ion.</w:t>
      </w:r>
    </w:p>
    <w:p w14:paraId="2919557F" w14:textId="60BE8A76" w:rsidR="00004453" w:rsidRDefault="00A51523" w:rsidP="00F7106C">
      <w:pPr>
        <w:jc w:val="left"/>
      </w:pPr>
      <w:r>
        <w:t xml:space="preserve">Once the model has been introduced to the ECTs give them the opportunity to reflect upon it and discuss their reflections with their peers. </w:t>
      </w:r>
    </w:p>
    <w:p w14:paraId="43D8F114" w14:textId="77777777" w:rsidR="00A51523" w:rsidRPr="00A51523" w:rsidRDefault="00A51523" w:rsidP="00936B43">
      <w:pPr>
        <w:pStyle w:val="ListParagraph"/>
        <w:numPr>
          <w:ilvl w:val="0"/>
          <w:numId w:val="7"/>
        </w:numPr>
      </w:pPr>
      <w:r w:rsidRPr="00A51523">
        <w:t xml:space="preserve">Have you come across any similar models before in your practice? </w:t>
      </w:r>
    </w:p>
    <w:p w14:paraId="74A571A4" w14:textId="77777777" w:rsidR="00A51523" w:rsidRPr="00A51523" w:rsidRDefault="00A51523" w:rsidP="00936B43">
      <w:pPr>
        <w:pStyle w:val="ListParagraph"/>
        <w:numPr>
          <w:ilvl w:val="0"/>
          <w:numId w:val="7"/>
        </w:numPr>
      </w:pPr>
      <w:r w:rsidRPr="00A51523">
        <w:t>Which aspects of the model are you most looking forward to and why?</w:t>
      </w:r>
    </w:p>
    <w:p w14:paraId="0A059791" w14:textId="77777777" w:rsidR="00A51523" w:rsidRPr="00A51523" w:rsidRDefault="00A51523" w:rsidP="00936B43">
      <w:pPr>
        <w:pStyle w:val="ListParagraph"/>
        <w:numPr>
          <w:ilvl w:val="0"/>
          <w:numId w:val="7"/>
        </w:numPr>
      </w:pPr>
      <w:r w:rsidRPr="00A51523">
        <w:t>Are there any potential challenges you foresee and how might you overcome them?</w:t>
      </w:r>
    </w:p>
    <w:tbl>
      <w:tblPr>
        <w:tblStyle w:val="TableGrid"/>
        <w:tblW w:w="0" w:type="auto"/>
        <w:shd w:val="clear" w:color="auto" w:fill="FDF1FC"/>
        <w:tblLook w:val="04A0" w:firstRow="1" w:lastRow="0" w:firstColumn="1" w:lastColumn="0" w:noHBand="0" w:noVBand="1"/>
      </w:tblPr>
      <w:tblGrid>
        <w:gridCol w:w="9006"/>
      </w:tblGrid>
      <w:tr w:rsidR="0091194C" w14:paraId="6A1FF800" w14:textId="77777777" w:rsidTr="007C719E">
        <w:tc>
          <w:tcPr>
            <w:tcW w:w="9016" w:type="dxa"/>
            <w:tcBorders>
              <w:top w:val="single" w:sz="8" w:space="0" w:color="FF0000"/>
              <w:left w:val="single" w:sz="8" w:space="0" w:color="FF0000"/>
              <w:bottom w:val="single" w:sz="8" w:space="0" w:color="FF0000"/>
              <w:right w:val="single" w:sz="8" w:space="0" w:color="FF0000"/>
            </w:tcBorders>
            <w:shd w:val="clear" w:color="auto" w:fill="FDF1FC"/>
          </w:tcPr>
          <w:p w14:paraId="391E5184" w14:textId="10F8B3EC" w:rsidR="0091194C" w:rsidRPr="0091194C" w:rsidRDefault="0091194C" w:rsidP="0091194C">
            <w:pPr>
              <w:jc w:val="left"/>
              <w:rPr>
                <w:rStyle w:val="normaltextrun"/>
                <w:color w:val="EE0000"/>
              </w:rPr>
            </w:pPr>
            <w:r w:rsidRPr="0091194C">
              <w:rPr>
                <w:rStyle w:val="normaltextrun"/>
                <w:color w:val="EE0000"/>
              </w:rPr>
              <w:t>Schools/trusts may wish to include their own questions to best suit their needs/context/focus.</w:t>
            </w:r>
          </w:p>
          <w:p w14:paraId="5BD088E1" w14:textId="677A1727" w:rsidR="0091194C" w:rsidRPr="002A70D6" w:rsidRDefault="0091194C" w:rsidP="002A70D6">
            <w:pPr>
              <w:rPr>
                <w:b/>
                <w:bCs/>
                <w:color w:val="FF0000"/>
              </w:rPr>
            </w:pPr>
          </w:p>
        </w:tc>
      </w:tr>
    </w:tbl>
    <w:p w14:paraId="1596F8B9" w14:textId="77777777" w:rsidR="0091194C" w:rsidRPr="00A51523" w:rsidRDefault="0091194C" w:rsidP="0091194C"/>
    <w:p w14:paraId="18358249" w14:textId="67BDCBE4" w:rsidR="00E80C19" w:rsidRPr="00E80C19" w:rsidRDefault="00E80C19" w:rsidP="00E80C19">
      <w:pPr>
        <w:jc w:val="left"/>
      </w:pPr>
      <w:r w:rsidRPr="00E80C19">
        <w:rPr>
          <w:lang w:val="en-US"/>
        </w:rPr>
        <w:t xml:space="preserve">Allow ECTs time to reflect on the transition from </w:t>
      </w:r>
      <w:r w:rsidR="00DD3DDF">
        <w:rPr>
          <w:lang w:val="en-US"/>
        </w:rPr>
        <w:t>y</w:t>
      </w:r>
      <w:r w:rsidRPr="00E80C19">
        <w:rPr>
          <w:lang w:val="en-US"/>
        </w:rPr>
        <w:t xml:space="preserve">ear 1 to </w:t>
      </w:r>
      <w:r w:rsidR="00DD3DDF">
        <w:rPr>
          <w:lang w:val="en-US"/>
        </w:rPr>
        <w:t>y</w:t>
      </w:r>
      <w:r w:rsidRPr="00E80C19">
        <w:rPr>
          <w:lang w:val="en-US"/>
        </w:rPr>
        <w:t>ear 2 by returning to the personal professional reflection model.</w:t>
      </w:r>
    </w:p>
    <w:p w14:paraId="57D3E9C2" w14:textId="77777777" w:rsidR="00E80C19" w:rsidRPr="00E80C19" w:rsidRDefault="00E80C19" w:rsidP="00E80C19">
      <w:pPr>
        <w:jc w:val="left"/>
      </w:pPr>
      <w:r w:rsidRPr="00E80C19">
        <w:rPr>
          <w:lang w:val="en-US"/>
        </w:rPr>
        <w:t xml:space="preserve">This year 2 model is different in structure to year 1 because it no longer follows the structure of engaging with a self-study then a weekly action. They are now enacting change across a whole half term rather than weekly. </w:t>
      </w:r>
    </w:p>
    <w:p w14:paraId="77BB9D00" w14:textId="014E1F6A" w:rsidR="00E80C19" w:rsidRPr="00E80C19" w:rsidRDefault="00E80C19" w:rsidP="00E80C19">
      <w:pPr>
        <w:jc w:val="left"/>
      </w:pPr>
      <w:r w:rsidRPr="00E80C19">
        <w:rPr>
          <w:lang w:val="en-US"/>
        </w:rPr>
        <w:lastRenderedPageBreak/>
        <w:t xml:space="preserve">Therefore, ECTs should take some time to consider how they will work with their mentor to ensure this model embedded into their practice. </w:t>
      </w:r>
    </w:p>
    <w:p w14:paraId="18113C62" w14:textId="758FD03B" w:rsidR="00A51523" w:rsidRPr="00004453" w:rsidRDefault="00530806" w:rsidP="00F7106C">
      <w:pPr>
        <w:jc w:val="left"/>
      </w:pPr>
      <w:r>
        <w:t xml:space="preserve">Introduce ECTs to the idea of a reflection model that be used to help develop strategies for becoming a reflective practitioner. The model use by the NIoT </w:t>
      </w:r>
      <w:r w:rsidR="00BB25EE">
        <w:t xml:space="preserve">has been adapted from Gibbs (1998). Further information can be found in the </w:t>
      </w:r>
      <w:hyperlink w:anchor="Appendix" w:history="1">
        <w:r w:rsidR="00BB25EE" w:rsidRPr="00C6077F">
          <w:rPr>
            <w:rStyle w:val="Hyperlink"/>
            <w:color w:val="0070C0"/>
          </w:rPr>
          <w:t xml:space="preserve">appendix. </w:t>
        </w:r>
      </w:hyperlink>
      <w:r w:rsidRPr="00C6077F">
        <w:rPr>
          <w:color w:val="0070C0"/>
        </w:rPr>
        <w:t xml:space="preserve"> </w:t>
      </w:r>
    </w:p>
    <w:tbl>
      <w:tblPr>
        <w:tblStyle w:val="TableGrid"/>
        <w:tblW w:w="0" w:type="auto"/>
        <w:shd w:val="clear" w:color="auto" w:fill="FDF1FC"/>
        <w:tblLook w:val="04A0" w:firstRow="1" w:lastRow="0" w:firstColumn="1" w:lastColumn="0" w:noHBand="0" w:noVBand="1"/>
      </w:tblPr>
      <w:tblGrid>
        <w:gridCol w:w="9006"/>
      </w:tblGrid>
      <w:tr w:rsidR="006A512A" w14:paraId="060D172A" w14:textId="77777777" w:rsidTr="007C719E">
        <w:tc>
          <w:tcPr>
            <w:tcW w:w="9016" w:type="dxa"/>
            <w:tcBorders>
              <w:top w:val="single" w:sz="8" w:space="0" w:color="FF0000"/>
              <w:left w:val="single" w:sz="8" w:space="0" w:color="FF0000"/>
              <w:bottom w:val="single" w:sz="8" w:space="0" w:color="FF0000"/>
              <w:right w:val="single" w:sz="8" w:space="0" w:color="FF0000"/>
            </w:tcBorders>
            <w:shd w:val="clear" w:color="auto" w:fill="FDF1FC"/>
          </w:tcPr>
          <w:p w14:paraId="1C3B1B0B" w14:textId="0ADBAC09" w:rsidR="006A512A" w:rsidRPr="0091194C" w:rsidRDefault="006A512A" w:rsidP="007C719E">
            <w:pPr>
              <w:jc w:val="left"/>
              <w:rPr>
                <w:rStyle w:val="normaltextrun"/>
                <w:color w:val="EE0000"/>
              </w:rPr>
            </w:pPr>
            <w:r w:rsidRPr="00A51523">
              <w:rPr>
                <w:rStyle w:val="normaltextrun"/>
                <w:color w:val="EE0000"/>
              </w:rPr>
              <w:t xml:space="preserve">Schools/trusts may wish to </w:t>
            </w:r>
            <w:r>
              <w:rPr>
                <w:rStyle w:val="normaltextrun"/>
                <w:color w:val="EE0000"/>
              </w:rPr>
              <w:t xml:space="preserve">use their own reflection model </w:t>
            </w:r>
            <w:r w:rsidRPr="00A51523">
              <w:rPr>
                <w:rStyle w:val="normaltextrun"/>
                <w:color w:val="EE0000"/>
              </w:rPr>
              <w:t>to best suit their needs/context/focus</w:t>
            </w:r>
            <w:r>
              <w:rPr>
                <w:rStyle w:val="normaltextrun"/>
                <w:color w:val="EE0000"/>
              </w:rPr>
              <w:t>.</w:t>
            </w:r>
          </w:p>
          <w:p w14:paraId="22893D9B" w14:textId="77777777" w:rsidR="006A512A" w:rsidRPr="002A70D6" w:rsidRDefault="006A512A" w:rsidP="007C719E">
            <w:pPr>
              <w:rPr>
                <w:b/>
                <w:bCs/>
                <w:color w:val="FF0000"/>
              </w:rPr>
            </w:pPr>
          </w:p>
        </w:tc>
      </w:tr>
    </w:tbl>
    <w:p w14:paraId="5EFA9920" w14:textId="4BF1B351" w:rsidR="004B314B" w:rsidRPr="005D492C" w:rsidRDefault="004B314B" w:rsidP="003C39E5">
      <w:pPr>
        <w:jc w:val="left"/>
      </w:pPr>
    </w:p>
    <w:p w14:paraId="1F27721E" w14:textId="30A098D2" w:rsidR="00211916" w:rsidRDefault="00C6077F" w:rsidP="00C6077F">
      <w:pPr>
        <w:jc w:val="left"/>
        <w:rPr>
          <w:szCs w:val="24"/>
        </w:rPr>
      </w:pPr>
      <w:r>
        <w:rPr>
          <w:szCs w:val="24"/>
        </w:rPr>
        <w:t xml:space="preserve">ECTs should reflect before discussing with peers </w:t>
      </w:r>
      <w:r w:rsidR="00D14E02">
        <w:rPr>
          <w:szCs w:val="24"/>
        </w:rPr>
        <w:t xml:space="preserve">a recent classroom experience using the reflection model as the structure. </w:t>
      </w:r>
    </w:p>
    <w:p w14:paraId="50F8A89F" w14:textId="77777777" w:rsidR="00DB45D6" w:rsidRDefault="00DB45D6" w:rsidP="00DB45D6">
      <w:r w:rsidRPr="009A68D4">
        <w:t>End this section of the session with a summary of the main points</w:t>
      </w:r>
      <w:r>
        <w:t xml:space="preserve">: </w:t>
      </w:r>
    </w:p>
    <w:p w14:paraId="0742C38F" w14:textId="77777777" w:rsidR="00DB45D6" w:rsidRPr="00DB45D6" w:rsidRDefault="00DB45D6" w:rsidP="00936B43">
      <w:pPr>
        <w:pStyle w:val="ListParagraph"/>
        <w:numPr>
          <w:ilvl w:val="0"/>
          <w:numId w:val="8"/>
        </w:numPr>
      </w:pPr>
      <w:r w:rsidRPr="00DB45D6">
        <w:rPr>
          <w:lang w:val="en-US"/>
        </w:rPr>
        <w:t xml:space="preserve">Reflection is most powerful when it leads to </w:t>
      </w:r>
      <w:r w:rsidRPr="00DB45D6">
        <w:rPr>
          <w:b/>
          <w:bCs/>
          <w:lang w:val="en-US"/>
        </w:rPr>
        <w:t xml:space="preserve">concrete actions </w:t>
      </w:r>
      <w:r w:rsidRPr="00DB45D6">
        <w:rPr>
          <w:lang w:val="en-US"/>
        </w:rPr>
        <w:t xml:space="preserve">and </w:t>
      </w:r>
      <w:r w:rsidRPr="00DB45D6">
        <w:rPr>
          <w:b/>
          <w:bCs/>
          <w:lang w:val="en-US"/>
        </w:rPr>
        <w:t>professional growth</w:t>
      </w:r>
      <w:r w:rsidRPr="00DB45D6">
        <w:rPr>
          <w:lang w:val="en-US"/>
        </w:rPr>
        <w:t>.</w:t>
      </w:r>
    </w:p>
    <w:p w14:paraId="2754F5BB" w14:textId="77777777" w:rsidR="00DB45D6" w:rsidRPr="00DB45D6" w:rsidRDefault="00DB45D6" w:rsidP="00936B43">
      <w:pPr>
        <w:pStyle w:val="ListParagraph"/>
        <w:numPr>
          <w:ilvl w:val="0"/>
          <w:numId w:val="8"/>
        </w:numPr>
      </w:pPr>
      <w:r w:rsidRPr="00DB45D6">
        <w:rPr>
          <w:lang w:val="en-US"/>
        </w:rPr>
        <w:t xml:space="preserve">The personal professional development model structures your </w:t>
      </w:r>
      <w:r w:rsidRPr="00DB45D6">
        <w:rPr>
          <w:b/>
          <w:bCs/>
          <w:lang w:val="en-US"/>
        </w:rPr>
        <w:t>progress</w:t>
      </w:r>
      <w:r w:rsidRPr="00DB45D6">
        <w:rPr>
          <w:lang w:val="en-US"/>
        </w:rPr>
        <w:t xml:space="preserve"> across each half term.</w:t>
      </w:r>
    </w:p>
    <w:p w14:paraId="0163C3EE" w14:textId="77777777" w:rsidR="00DB45D6" w:rsidRPr="00DB45D6" w:rsidRDefault="00DB45D6" w:rsidP="00936B43">
      <w:pPr>
        <w:pStyle w:val="ListParagraph"/>
        <w:numPr>
          <w:ilvl w:val="0"/>
          <w:numId w:val="8"/>
        </w:numPr>
      </w:pPr>
      <w:r w:rsidRPr="00DB45D6">
        <w:rPr>
          <w:lang w:val="en-US"/>
        </w:rPr>
        <w:t xml:space="preserve">Using a reflective model helps you </w:t>
      </w:r>
      <w:r w:rsidRPr="00DB45D6">
        <w:rPr>
          <w:b/>
          <w:bCs/>
          <w:lang w:val="en-US"/>
        </w:rPr>
        <w:t xml:space="preserve">unpack experiences </w:t>
      </w:r>
      <w:r w:rsidRPr="00DB45D6">
        <w:rPr>
          <w:lang w:val="en-US"/>
        </w:rPr>
        <w:t xml:space="preserve">and </w:t>
      </w:r>
      <w:r w:rsidRPr="00DB45D6">
        <w:rPr>
          <w:b/>
          <w:bCs/>
          <w:lang w:val="en-US"/>
        </w:rPr>
        <w:t>identify</w:t>
      </w:r>
      <w:r w:rsidRPr="00DB45D6">
        <w:rPr>
          <w:lang w:val="en-US"/>
        </w:rPr>
        <w:t xml:space="preserve"> clear next steps.</w:t>
      </w:r>
    </w:p>
    <w:p w14:paraId="4F3CB573" w14:textId="7318ED83" w:rsidR="00127F76" w:rsidRDefault="00DB45D6" w:rsidP="00936B43">
      <w:pPr>
        <w:pStyle w:val="ListParagraph"/>
        <w:numPr>
          <w:ilvl w:val="0"/>
          <w:numId w:val="8"/>
        </w:numPr>
      </w:pPr>
      <w:r w:rsidRPr="00DB45D6">
        <w:rPr>
          <w:lang w:val="en-US"/>
        </w:rPr>
        <w:t xml:space="preserve">Building reflective habits now will </w:t>
      </w:r>
      <w:r w:rsidRPr="00DB45D6">
        <w:rPr>
          <w:b/>
          <w:bCs/>
          <w:lang w:val="en-US"/>
        </w:rPr>
        <w:t xml:space="preserve">support your development </w:t>
      </w:r>
      <w:r w:rsidRPr="00DB45D6">
        <w:rPr>
          <w:lang w:val="en-US"/>
        </w:rPr>
        <w:t xml:space="preserve">not just in </w:t>
      </w:r>
      <w:r w:rsidR="006A7057">
        <w:rPr>
          <w:lang w:val="en-US"/>
        </w:rPr>
        <w:t>y</w:t>
      </w:r>
      <w:r w:rsidRPr="00DB45D6">
        <w:rPr>
          <w:lang w:val="en-US"/>
        </w:rPr>
        <w:t xml:space="preserve">ear 2, but throughout your </w:t>
      </w:r>
      <w:r w:rsidRPr="00DB45D6">
        <w:rPr>
          <w:b/>
          <w:bCs/>
          <w:lang w:val="en-US"/>
        </w:rPr>
        <w:t>teaching career</w:t>
      </w:r>
      <w:r w:rsidRPr="00DB45D6">
        <w:rPr>
          <w:lang w:val="en-US"/>
        </w:rPr>
        <w:t>.</w:t>
      </w:r>
    </w:p>
    <w:p w14:paraId="1752FD90" w14:textId="1E47D369" w:rsidR="00211916" w:rsidRDefault="00211916" w:rsidP="00211916">
      <w:pPr>
        <w:pStyle w:val="Subheading"/>
      </w:pPr>
      <w:r>
        <w:t>Section 4</w:t>
      </w:r>
      <w:r w:rsidR="00DB45D6">
        <w:t>: Continuing to m</w:t>
      </w:r>
      <w:r w:rsidR="00474481">
        <w:t>anag</w:t>
      </w:r>
      <w:r w:rsidR="00DB45D6">
        <w:t>e</w:t>
      </w:r>
      <w:r w:rsidR="00474481">
        <w:t xml:space="preserve"> well-being and workload</w:t>
      </w:r>
    </w:p>
    <w:p w14:paraId="65F95AB7" w14:textId="4DE31DD8" w:rsidR="00211916" w:rsidRDefault="00211916" w:rsidP="00211916">
      <w:pPr>
        <w:rPr>
          <w:b/>
          <w:bCs/>
        </w:rPr>
      </w:pPr>
      <w:r>
        <w:rPr>
          <w:b/>
          <w:bCs/>
        </w:rPr>
        <w:t xml:space="preserve">Timing: </w:t>
      </w:r>
      <w:r w:rsidR="00FA6495">
        <w:rPr>
          <w:b/>
          <w:bCs/>
        </w:rPr>
        <w:t>4</w:t>
      </w:r>
      <w:r w:rsidR="008E27E2">
        <w:rPr>
          <w:b/>
          <w:bCs/>
        </w:rPr>
        <w:t>5</w:t>
      </w:r>
      <w:r>
        <w:rPr>
          <w:b/>
          <w:bCs/>
        </w:rPr>
        <w:t xml:space="preserve"> minutes </w:t>
      </w:r>
    </w:p>
    <w:p w14:paraId="4FD18302" w14:textId="71188F39" w:rsidR="00BC34B3" w:rsidRPr="00BC34B3" w:rsidRDefault="00211916" w:rsidP="00BC34B3">
      <w:r w:rsidRPr="00D55CFE">
        <w:t xml:space="preserve">The </w:t>
      </w:r>
      <w:r w:rsidR="00BC34B3">
        <w:t>final</w:t>
      </w:r>
      <w:r>
        <w:t xml:space="preserve"> section of the seminar </w:t>
      </w:r>
      <w:r w:rsidR="00BC34B3" w:rsidRPr="00BC34B3">
        <w:rPr>
          <w:lang w:val="en-US"/>
        </w:rPr>
        <w:t>considers</w:t>
      </w:r>
      <w:r w:rsidR="00110AA4">
        <w:rPr>
          <w:lang w:val="en-US"/>
        </w:rPr>
        <w:t xml:space="preserve"> the continued importance of managing</w:t>
      </w:r>
      <w:r w:rsidR="00BC34B3" w:rsidRPr="00BC34B3">
        <w:rPr>
          <w:lang w:val="en-US"/>
        </w:rPr>
        <w:t xml:space="preserve"> well-being and considers strategies to help </w:t>
      </w:r>
      <w:r w:rsidR="00F64A54">
        <w:rPr>
          <w:lang w:val="en-US"/>
        </w:rPr>
        <w:t xml:space="preserve">ECTs </w:t>
      </w:r>
      <w:r w:rsidR="00BC34B3" w:rsidRPr="00BC34B3">
        <w:rPr>
          <w:lang w:val="en-US"/>
        </w:rPr>
        <w:t>manage workload and well-being</w:t>
      </w:r>
      <w:r w:rsidR="00110AA4">
        <w:rPr>
          <w:lang w:val="en-US"/>
        </w:rPr>
        <w:t xml:space="preserve"> in year 2</w:t>
      </w:r>
      <w:r w:rsidR="00BC34B3" w:rsidRPr="00BC34B3">
        <w:rPr>
          <w:lang w:val="en-US"/>
        </w:rPr>
        <w:t>.</w:t>
      </w:r>
    </w:p>
    <w:p w14:paraId="4407348D" w14:textId="339BD40C" w:rsidR="00211916" w:rsidRDefault="00211916" w:rsidP="00BC34B3">
      <w:pPr>
        <w:jc w:val="left"/>
        <w:rPr>
          <w:b/>
          <w:bCs/>
        </w:rPr>
      </w:pPr>
      <w:r>
        <w:rPr>
          <w:b/>
          <w:bCs/>
        </w:rPr>
        <w:t xml:space="preserve">Suggested activity </w:t>
      </w:r>
    </w:p>
    <w:p w14:paraId="3B921432" w14:textId="76AFDCEB" w:rsidR="00211916" w:rsidRDefault="00F64A54" w:rsidP="00FE052D">
      <w:r>
        <w:t xml:space="preserve">Begin by </w:t>
      </w:r>
      <w:r w:rsidR="000D3A3B">
        <w:t>referring to the work of the OECD on the importance of teacher well-being</w:t>
      </w:r>
      <w:r w:rsidR="006713A3">
        <w:t>, focusing on the core dimensions of teachers’ well-being</w:t>
      </w:r>
      <w:r w:rsidR="000D3A3B">
        <w:t xml:space="preserve">. </w:t>
      </w:r>
    </w:p>
    <w:p w14:paraId="14F54F26" w14:textId="740FAB02" w:rsidR="00006F79" w:rsidRPr="00FF4AA5" w:rsidRDefault="00006F79" w:rsidP="00006F79">
      <w:pPr>
        <w:jc w:val="left"/>
      </w:pPr>
      <w:r w:rsidRPr="002811FB">
        <w:rPr>
          <w:szCs w:val="24"/>
        </w:rPr>
        <w:t xml:space="preserve">See </w:t>
      </w:r>
      <w:hyperlink w:anchor="Appendix" w:history="1">
        <w:r w:rsidRPr="00DE3E3E">
          <w:rPr>
            <w:rStyle w:val="Hyperlink"/>
            <w:color w:val="0070C0"/>
            <w:szCs w:val="24"/>
          </w:rPr>
          <w:t>appendix</w:t>
        </w:r>
      </w:hyperlink>
      <w:r w:rsidRPr="002811FB">
        <w:rPr>
          <w:szCs w:val="24"/>
        </w:rPr>
        <w:t xml:space="preserve"> for more information</w:t>
      </w:r>
      <w:r w:rsidR="00674F41">
        <w:rPr>
          <w:szCs w:val="24"/>
        </w:rPr>
        <w:t>.</w:t>
      </w:r>
    </w:p>
    <w:p w14:paraId="5A3EE051" w14:textId="27492BE3" w:rsidR="00C7625E" w:rsidRDefault="00E91B40" w:rsidP="001508E4">
      <w:pPr>
        <w:jc w:val="left"/>
      </w:pPr>
      <w:r>
        <w:t xml:space="preserve">Allow time for ECTs to reflect and then discuss their own </w:t>
      </w:r>
      <w:r w:rsidR="00BF4F76">
        <w:t>successes with their workload an</w:t>
      </w:r>
      <w:r w:rsidR="00BC3B46">
        <w:t>d</w:t>
      </w:r>
      <w:r w:rsidR="00BF4F76">
        <w:t xml:space="preserve"> well-being in year 1 as well as the elements they have found challenging. </w:t>
      </w:r>
    </w:p>
    <w:p w14:paraId="5E6257C1" w14:textId="6A68973D" w:rsidR="00BC3B46" w:rsidRDefault="00BC3B46" w:rsidP="001508E4">
      <w:pPr>
        <w:jc w:val="left"/>
      </w:pPr>
      <w:r>
        <w:t xml:space="preserve">Review some of the factors shaping teacher well-being and give ECTs time to reflect upon these. See </w:t>
      </w:r>
      <w:hyperlink w:anchor="Appendix" w:history="1">
        <w:r w:rsidRPr="00BA661A">
          <w:rPr>
            <w:rStyle w:val="Hyperlink"/>
            <w:color w:val="0070C0"/>
          </w:rPr>
          <w:t>appendix</w:t>
        </w:r>
      </w:hyperlink>
      <w:r>
        <w:t xml:space="preserve"> for more information.</w:t>
      </w:r>
    </w:p>
    <w:p w14:paraId="4A9D4534" w14:textId="77777777" w:rsidR="00F42B90" w:rsidRDefault="004F3A4F" w:rsidP="001508E4">
      <w:pPr>
        <w:jc w:val="left"/>
      </w:pPr>
      <w:r>
        <w:lastRenderedPageBreak/>
        <w:t>The session then moves into deliberate practice. Begin with a recap of the model of deliberate practice used</w:t>
      </w:r>
      <w:r w:rsidR="000F070C">
        <w:t xml:space="preserve">. If </w:t>
      </w:r>
      <w:r w:rsidR="00B8573D">
        <w:t>necessary,</w:t>
      </w:r>
      <w:r w:rsidR="000F070C">
        <w:t xml:space="preserve"> remind ECTs of the model for deliberate practice.</w:t>
      </w:r>
      <w:r w:rsidR="00B8573D">
        <w:t xml:space="preserve"> Provide ECTs with a scenario </w:t>
      </w:r>
      <w:r w:rsidR="00F42B90">
        <w:t xml:space="preserve">focusing on teacher well-being. </w:t>
      </w:r>
    </w:p>
    <w:p w14:paraId="581185A3" w14:textId="61DC8093" w:rsidR="00782F1E" w:rsidRDefault="00F42B90" w:rsidP="001508E4">
      <w:pPr>
        <w:jc w:val="left"/>
      </w:pPr>
      <w:r>
        <w:t>An example of a scenario that can be used h</w:t>
      </w:r>
      <w:r w:rsidR="009D19A6">
        <w:t>a</w:t>
      </w:r>
      <w:r>
        <w:t xml:space="preserve">s been provided in the </w:t>
      </w:r>
      <w:hyperlink w:anchor="Appendix" w:history="1">
        <w:r w:rsidRPr="00DE3E3E">
          <w:rPr>
            <w:rStyle w:val="Hyperlink"/>
            <w:color w:val="0070C0"/>
          </w:rPr>
          <w:t xml:space="preserve">appendix. </w:t>
        </w:r>
      </w:hyperlink>
      <w:r w:rsidR="00B8573D">
        <w:t xml:space="preserve"> </w:t>
      </w:r>
    </w:p>
    <w:tbl>
      <w:tblPr>
        <w:tblStyle w:val="TableGrid"/>
        <w:tblW w:w="0" w:type="auto"/>
        <w:shd w:val="clear" w:color="auto" w:fill="FDF1FC"/>
        <w:tblLook w:val="04A0" w:firstRow="1" w:lastRow="0" w:firstColumn="1" w:lastColumn="0" w:noHBand="0" w:noVBand="1"/>
      </w:tblPr>
      <w:tblGrid>
        <w:gridCol w:w="9006"/>
      </w:tblGrid>
      <w:tr w:rsidR="006A512A" w14:paraId="77E05443" w14:textId="77777777" w:rsidTr="007C719E">
        <w:tc>
          <w:tcPr>
            <w:tcW w:w="9016" w:type="dxa"/>
            <w:tcBorders>
              <w:top w:val="single" w:sz="8" w:space="0" w:color="FF0000"/>
              <w:left w:val="single" w:sz="8" w:space="0" w:color="FF0000"/>
              <w:bottom w:val="single" w:sz="8" w:space="0" w:color="FF0000"/>
              <w:right w:val="single" w:sz="8" w:space="0" w:color="FF0000"/>
            </w:tcBorders>
            <w:shd w:val="clear" w:color="auto" w:fill="FDF1FC"/>
          </w:tcPr>
          <w:p w14:paraId="01128D1F" w14:textId="42A55503" w:rsidR="006A512A" w:rsidRPr="00A51523" w:rsidRDefault="006A512A" w:rsidP="006A512A">
            <w:pPr>
              <w:jc w:val="left"/>
              <w:rPr>
                <w:rStyle w:val="normaltextrun"/>
                <w:color w:val="EE0000"/>
              </w:rPr>
            </w:pPr>
            <w:r w:rsidRPr="00A51523">
              <w:rPr>
                <w:rStyle w:val="normaltextrun"/>
                <w:color w:val="EE0000"/>
              </w:rPr>
              <w:t xml:space="preserve">Schools/trusts may wish to </w:t>
            </w:r>
            <w:r>
              <w:rPr>
                <w:rStyle w:val="normaltextrun"/>
                <w:color w:val="EE0000"/>
              </w:rPr>
              <w:t xml:space="preserve">use their own scenario </w:t>
            </w:r>
            <w:r w:rsidRPr="00A51523">
              <w:rPr>
                <w:rStyle w:val="normaltextrun"/>
                <w:color w:val="EE0000"/>
              </w:rPr>
              <w:t>to best suit their needs/context/focus.</w:t>
            </w:r>
          </w:p>
          <w:p w14:paraId="472880C1" w14:textId="77777777" w:rsidR="006A512A" w:rsidRPr="002A70D6" w:rsidRDefault="006A512A" w:rsidP="007C719E">
            <w:pPr>
              <w:rPr>
                <w:b/>
                <w:bCs/>
                <w:color w:val="FF0000"/>
              </w:rPr>
            </w:pPr>
          </w:p>
        </w:tc>
      </w:tr>
    </w:tbl>
    <w:p w14:paraId="72FEFB4F" w14:textId="77777777" w:rsidR="00F42B90" w:rsidRDefault="00F42B90" w:rsidP="00F42B90">
      <w:pPr>
        <w:jc w:val="left"/>
        <w:rPr>
          <w:color w:val="EE0000"/>
        </w:rPr>
      </w:pPr>
    </w:p>
    <w:p w14:paraId="04F279F1" w14:textId="132E51A6" w:rsidR="00782F1E" w:rsidRDefault="00C40CD7" w:rsidP="001508E4">
      <w:pPr>
        <w:jc w:val="left"/>
      </w:pPr>
      <w:r>
        <w:t xml:space="preserve">Allow time for ECTS to reflect on </w:t>
      </w:r>
      <w:r w:rsidR="005332B0">
        <w:t>the problems affected the teacher’s well-being and to consider specific strategies that could be taken to address this. ECTs should then reflect upon this scenario and create their own self-care plan</w:t>
      </w:r>
      <w:r w:rsidR="00BA4D51">
        <w:t xml:space="preserve">, before sharing this with a partner to receive feedback and re-do the pan where necessary. </w:t>
      </w:r>
    </w:p>
    <w:p w14:paraId="680166A7" w14:textId="4CE9431B" w:rsidR="00782F1E" w:rsidRDefault="000E5A35" w:rsidP="001508E4">
      <w:pPr>
        <w:jc w:val="left"/>
      </w:pPr>
      <w:r>
        <w:t xml:space="preserve">Complete this section by giving ECTs the opportunity to reflect upon this part of the session. </w:t>
      </w:r>
    </w:p>
    <w:p w14:paraId="04E7A88E" w14:textId="4405BE14" w:rsidR="00211916" w:rsidRPr="000E5A35" w:rsidRDefault="00206AF1" w:rsidP="000E5A35">
      <w:pPr>
        <w:pStyle w:val="Subheading"/>
      </w:pPr>
      <w:r>
        <w:t>Next steps</w:t>
      </w:r>
    </w:p>
    <w:p w14:paraId="13D4E667" w14:textId="2EB6C56A" w:rsidR="00242964" w:rsidRDefault="00242964">
      <w:pPr>
        <w:rPr>
          <w:b/>
          <w:bCs/>
        </w:rPr>
      </w:pPr>
      <w:r w:rsidRPr="00242964">
        <w:rPr>
          <w:b/>
          <w:bCs/>
        </w:rPr>
        <w:t>Timing: 1</w:t>
      </w:r>
      <w:r w:rsidR="008E27E2">
        <w:rPr>
          <w:b/>
          <w:bCs/>
        </w:rPr>
        <w:t>5</w:t>
      </w:r>
      <w:r w:rsidRPr="00242964">
        <w:rPr>
          <w:b/>
          <w:bCs/>
        </w:rPr>
        <w:t xml:space="preserve"> minutes </w:t>
      </w:r>
    </w:p>
    <w:p w14:paraId="66B68880" w14:textId="65E43603" w:rsidR="00743B72" w:rsidRPr="006A3BEB" w:rsidRDefault="00743B72" w:rsidP="00743B72">
      <w:r w:rsidRPr="006A3BEB">
        <w:t>Give participant</w:t>
      </w:r>
      <w:r w:rsidR="006A7057">
        <w:t>s</w:t>
      </w:r>
      <w:r w:rsidRPr="006A3BEB">
        <w:t xml:space="preserve"> time to reflect on their learning from the session and identify some actions they will take to develop their practice as a result. </w:t>
      </w:r>
    </w:p>
    <w:p w14:paraId="258126B4" w14:textId="6B6A1D0A" w:rsidR="00743B72" w:rsidRPr="00242964" w:rsidRDefault="00743B72" w:rsidP="00743B72">
      <w:pPr>
        <w:rPr>
          <w:b/>
          <w:bCs/>
        </w:rPr>
      </w:pPr>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0EE66AD5" w14:textId="77777777" w:rsidR="00EC0016" w:rsidRDefault="00EC0016">
      <w:pPr>
        <w:rPr>
          <w:b/>
          <w:bCs/>
        </w:rPr>
      </w:pPr>
    </w:p>
    <w:p w14:paraId="389D1611" w14:textId="77777777" w:rsidR="00EC0016" w:rsidRPr="00BF7365" w:rsidRDefault="00EC0016" w:rsidP="00EC0016">
      <w:pPr>
        <w:rPr>
          <w:b/>
          <w:color w:val="0070C0"/>
          <w:sz w:val="28"/>
          <w:szCs w:val="24"/>
        </w:rPr>
      </w:pPr>
      <w:hyperlink w:anchor="Content" w:history="1">
        <w:r w:rsidRPr="00BF7365">
          <w:rPr>
            <w:rStyle w:val="Hyperlink"/>
            <w:b/>
            <w:color w:val="0070C0"/>
          </w:rPr>
          <w:t>Return to content page</w:t>
        </w:r>
      </w:hyperlink>
      <w:r w:rsidRPr="00BF7365">
        <w:rPr>
          <w:b/>
          <w:color w:val="0070C0"/>
          <w:sz w:val="28"/>
          <w:szCs w:val="24"/>
        </w:rPr>
        <w:br w:type="page"/>
      </w:r>
    </w:p>
    <w:p w14:paraId="5C01E7E6" w14:textId="57FCA5AF" w:rsidR="00D450D2" w:rsidRDefault="00743B72" w:rsidP="00743B72">
      <w:pPr>
        <w:pStyle w:val="Heading"/>
      </w:pPr>
      <w:r>
        <w:lastRenderedPageBreak/>
        <w:t xml:space="preserve">References </w:t>
      </w:r>
    </w:p>
    <w:p w14:paraId="276D2E8B" w14:textId="77777777" w:rsidR="00633925" w:rsidRPr="00633925" w:rsidRDefault="00633925" w:rsidP="00BA661A">
      <w:pPr>
        <w:jc w:val="left"/>
      </w:pPr>
      <w:r w:rsidRPr="00633925">
        <w:t xml:space="preserve">Gibbs, G. (1998) Learning by Doing: A Guide to Teaching and Learning Methods. Oxford: Further Education Unit, Oxford Polytechnic. </w:t>
      </w:r>
    </w:p>
    <w:p w14:paraId="1AA0362C" w14:textId="5BB404A9" w:rsidR="00C25C39" w:rsidRPr="00D76B57" w:rsidRDefault="00C25C39" w:rsidP="00C25C39">
      <w:pPr>
        <w:jc w:val="left"/>
      </w:pPr>
      <w:r w:rsidRPr="00D76B57">
        <w:t xml:space="preserve">Mulholland, K. (2024) Using Research Evidence: A Concise Guide. London: Education Endowment Foundation. Available at: </w:t>
      </w:r>
      <w:hyperlink r:id="rId22" w:tgtFrame="_new" w:history="1">
        <w:r w:rsidRPr="00D76B57">
          <w:rPr>
            <w:rStyle w:val="Hyperlink"/>
            <w:color w:val="0070C0"/>
          </w:rPr>
          <w:t>https://d2tic4wvo1iusb.cloudfront.net/production/documents/using_research_evidence_-_a_concise_guide.pdf</w:t>
        </w:r>
      </w:hyperlink>
      <w:r w:rsidRPr="00D76B57">
        <w:t xml:space="preserve"> </w:t>
      </w:r>
      <w:r w:rsidR="00D76B57" w:rsidRPr="00D76B57">
        <w:t>[</w:t>
      </w:r>
      <w:r w:rsidRPr="00D76B57">
        <w:t>Accessed: 27 April 2026</w:t>
      </w:r>
      <w:r w:rsidR="00D76B57" w:rsidRPr="00D76B57">
        <w:t>]</w:t>
      </w:r>
    </w:p>
    <w:p w14:paraId="126AD1BD" w14:textId="6586FDCA" w:rsidR="00633925" w:rsidRPr="00633925" w:rsidRDefault="00633925" w:rsidP="00BA661A">
      <w:pPr>
        <w:jc w:val="left"/>
      </w:pPr>
      <w:r w:rsidRPr="00C42161">
        <w:t>OECD (2020)</w:t>
      </w:r>
      <w:r w:rsidRPr="00633925">
        <w:t xml:space="preserve"> </w:t>
      </w:r>
      <w:r w:rsidRPr="00D76B57">
        <w:t>Supporting teacher professionalism: Insights from TALIS 2018</w:t>
      </w:r>
      <w:r w:rsidRPr="00633925">
        <w:t xml:space="preserve">. OECD Publishing. Available at </w:t>
      </w:r>
      <w:hyperlink r:id="rId23" w:history="1">
        <w:r w:rsidRPr="00D76B57">
          <w:rPr>
            <w:rStyle w:val="Hyperlink"/>
            <w:color w:val="0070C0"/>
          </w:rPr>
          <w:t>Teachers’ well-being (EN)</w:t>
        </w:r>
        <w:r w:rsidRPr="00633925">
          <w:rPr>
            <w:rStyle w:val="Hyperlink"/>
          </w:rPr>
          <w:t xml:space="preserve"> </w:t>
        </w:r>
      </w:hyperlink>
      <w:r w:rsidR="00D76B57" w:rsidRPr="00D76B57">
        <w:t xml:space="preserve"> [Accessed: 27 April 2026]</w:t>
      </w:r>
    </w:p>
    <w:p w14:paraId="3E74234E" w14:textId="77777777" w:rsidR="00EC0016" w:rsidRDefault="00EC0016">
      <w:pPr>
        <w:rPr>
          <w:b/>
          <w:bCs/>
        </w:rPr>
      </w:pPr>
    </w:p>
    <w:p w14:paraId="087B41B4" w14:textId="77777777" w:rsidR="00EC0016" w:rsidRDefault="00EC0016" w:rsidP="00EC0016">
      <w:pPr>
        <w:rPr>
          <w:b/>
          <w:color w:val="0070C0"/>
          <w:sz w:val="28"/>
          <w:szCs w:val="24"/>
        </w:rPr>
      </w:pPr>
      <w:hyperlink w:anchor="Content" w:history="1">
        <w:r w:rsidRPr="00C72440">
          <w:rPr>
            <w:rStyle w:val="Hyperlink"/>
            <w:b/>
            <w:color w:val="0070C0"/>
          </w:rPr>
          <w:t>Return to content page</w:t>
        </w:r>
      </w:hyperlink>
      <w:r w:rsidRPr="00C72440">
        <w:rPr>
          <w:b/>
          <w:color w:val="0070C0"/>
          <w:sz w:val="28"/>
          <w:szCs w:val="24"/>
        </w:rPr>
        <w:br w:type="page"/>
      </w:r>
    </w:p>
    <w:p w14:paraId="2A84DF45" w14:textId="12184CD8" w:rsidR="00D450D2" w:rsidRDefault="00743B72" w:rsidP="00743B72">
      <w:pPr>
        <w:pStyle w:val="Heading"/>
      </w:pPr>
      <w:bookmarkStart w:id="6" w:name="Appendix"/>
      <w:r>
        <w:lastRenderedPageBreak/>
        <w:t xml:space="preserve">Appendix </w:t>
      </w:r>
    </w:p>
    <w:bookmarkEnd w:id="6"/>
    <w:p w14:paraId="6C2DB7AF" w14:textId="3507E26E" w:rsidR="00450093" w:rsidRDefault="00450093" w:rsidP="00A5202F">
      <w:pPr>
        <w:pStyle w:val="Subheading"/>
      </w:pPr>
      <w:r>
        <w:t>Section 1</w:t>
      </w:r>
    </w:p>
    <w:p w14:paraId="313DC8E8" w14:textId="77777777" w:rsidR="00450093" w:rsidRDefault="00450093" w:rsidP="00450093">
      <w:pPr>
        <w:jc w:val="left"/>
      </w:pPr>
      <w:r>
        <w:t>Additional information on programme structure:</w:t>
      </w:r>
    </w:p>
    <w:p w14:paraId="704472CE" w14:textId="125C461A" w:rsidR="009B24DF" w:rsidRDefault="006B7E36" w:rsidP="00450093">
      <w:pPr>
        <w:jc w:val="left"/>
      </w:pPr>
      <w:r w:rsidRPr="00521191">
        <w:t xml:space="preserve">Each half-term, </w:t>
      </w:r>
      <w:r>
        <w:t>full time ECTs</w:t>
      </w:r>
      <w:r w:rsidRPr="00521191">
        <w:t xml:space="preserve"> will engage with a self-study and </w:t>
      </w:r>
      <w:r>
        <w:t>reflect on the content</w:t>
      </w:r>
      <w:r w:rsidR="006F79F7">
        <w:t>.</w:t>
      </w:r>
      <w:r>
        <w:t xml:space="preserve"> </w:t>
      </w:r>
      <w:r w:rsidR="00450093">
        <w:t xml:space="preserve">The reading covered and the result of the </w:t>
      </w:r>
      <w:r w:rsidR="00BE4732">
        <w:t>reflection</w:t>
      </w:r>
      <w:r w:rsidR="00450093">
        <w:t xml:space="preserve"> will guide discussions between the ECT and mentor</w:t>
      </w:r>
      <w:r w:rsidR="0034076E">
        <w:t xml:space="preserve">. </w:t>
      </w:r>
      <w:r w:rsidR="003F78AF">
        <w:t>ECTs will have the opportunity to critically engage with research by selecting a particular research paper from within each module.</w:t>
      </w:r>
    </w:p>
    <w:p w14:paraId="56740789" w14:textId="77777777" w:rsidR="00C7481A" w:rsidRPr="00387333" w:rsidRDefault="00C7481A" w:rsidP="00860B06">
      <w:pPr>
        <w:rPr>
          <w:color w:val="FF0000"/>
        </w:rPr>
      </w:pPr>
      <w:r w:rsidRPr="00387333">
        <w:rPr>
          <w:color w:val="FF0000"/>
        </w:rPr>
        <w:t>If they are being offered to ECTs, schools should add details here about the structure of live seminars or sessions. The live seminar outlines are available to support you with the planning of these.</w:t>
      </w:r>
    </w:p>
    <w:p w14:paraId="3C51E93D" w14:textId="77777777" w:rsidR="00C7481A" w:rsidRPr="00387333" w:rsidRDefault="00C7481A" w:rsidP="00860B06">
      <w:pPr>
        <w:rPr>
          <w:color w:val="FF0000"/>
        </w:rPr>
      </w:pPr>
      <w:r w:rsidRPr="00387333">
        <w:rPr>
          <w:color w:val="FF0000"/>
        </w:rPr>
        <w:t xml:space="preserve">If you are using the NIoT seminar materials, you may want to include the following information: </w:t>
      </w:r>
    </w:p>
    <w:p w14:paraId="2D6D942A" w14:textId="2CB4B39E" w:rsidR="00C7481A" w:rsidRDefault="00C7481A" w:rsidP="00860B06">
      <w:pPr>
        <w:jc w:val="left"/>
      </w:pPr>
      <w:r>
        <w:t>The seminars</w:t>
      </w:r>
      <w:r w:rsidRPr="00E86DBF">
        <w:t xml:space="preserve"> will </w:t>
      </w:r>
      <w:r>
        <w:t>adopt a scenario-based approach in which you will have the opportunity to</w:t>
      </w:r>
      <w:r w:rsidRPr="00B168BD">
        <w:t xml:space="preserve"> connect different aspects of your teaching</w:t>
      </w:r>
      <w:r w:rsidR="00CA55C5">
        <w:t xml:space="preserve"> - </w:t>
      </w:r>
      <w:r w:rsidRPr="00B168BD">
        <w:t>such as planning, assessment, and behaviour management</w:t>
      </w:r>
      <w:r w:rsidR="00CA55C5">
        <w:t xml:space="preserve"> - </w:t>
      </w:r>
      <w:r w:rsidRPr="00B168BD">
        <w:t xml:space="preserve">into a more cohesive and effective practice. By integrating these elements, you will </w:t>
      </w:r>
      <w:r>
        <w:t>develop your adaptive expertise supporting you to make better-</w:t>
      </w:r>
      <w:r w:rsidRPr="00BC5E9D">
        <w:t>informed decisions in real time</w:t>
      </w:r>
      <w:r>
        <w:t xml:space="preserve"> and </w:t>
      </w:r>
      <w:r w:rsidRPr="008F0530">
        <w:t>making</w:t>
      </w:r>
      <w:r>
        <w:t xml:space="preserve"> your</w:t>
      </w:r>
      <w:r w:rsidRPr="008F0530">
        <w:t xml:space="preserve"> teaching more responsive to individual needs</w:t>
      </w:r>
      <w:r>
        <w:t xml:space="preserve">. </w:t>
      </w:r>
    </w:p>
    <w:p w14:paraId="62BA26DF" w14:textId="30EC981E" w:rsidR="00A5202F" w:rsidRDefault="00A5202F" w:rsidP="00A5202F">
      <w:pPr>
        <w:pStyle w:val="Subheading"/>
      </w:pPr>
      <w:r>
        <w:t xml:space="preserve">Section </w:t>
      </w:r>
      <w:r w:rsidR="009F66BA">
        <w:t>2</w:t>
      </w:r>
    </w:p>
    <w:p w14:paraId="539D070B" w14:textId="321CC6CA" w:rsidR="00322823" w:rsidRPr="006C6BB9" w:rsidRDefault="006C6BB9" w:rsidP="00322823">
      <w:pPr>
        <w:jc w:val="left"/>
      </w:pPr>
      <w:r>
        <w:rPr>
          <w:lang w:val="en-US"/>
        </w:rPr>
        <w:t xml:space="preserve">Source: </w:t>
      </w:r>
      <w:r w:rsidR="00322823" w:rsidRPr="006C6BB9">
        <w:rPr>
          <w:lang w:val="en-US"/>
        </w:rPr>
        <w:t xml:space="preserve">Using research evidence. A concise guide. EEF 2024: </w:t>
      </w:r>
      <w:hyperlink r:id="rId24" w:history="1">
        <w:r w:rsidR="00322823" w:rsidRPr="006F79F7">
          <w:rPr>
            <w:rStyle w:val="Hyperlink"/>
            <w:color w:val="0070C0"/>
          </w:rPr>
          <w:t>Using research evidence | EEF</w:t>
        </w:r>
      </w:hyperlink>
    </w:p>
    <w:p w14:paraId="348B9A0F" w14:textId="45426540" w:rsidR="009C43F4" w:rsidRPr="006C6BB9" w:rsidRDefault="009C43F4" w:rsidP="009C43F4">
      <w:pPr>
        <w:jc w:val="left"/>
      </w:pPr>
      <w:r w:rsidRPr="009C43F4">
        <w:rPr>
          <w:b/>
          <w:bCs/>
          <w:lang w:val="en-US"/>
        </w:rPr>
        <w:t xml:space="preserve">Conclusions – </w:t>
      </w:r>
      <w:r w:rsidRPr="006C6BB9">
        <w:rPr>
          <w:lang w:val="en-US"/>
        </w:rPr>
        <w:t>as you read research it should be clear what evidence has been used to draw conclusions. Ask yourself</w:t>
      </w:r>
      <w:r w:rsidR="002A5A43">
        <w:rPr>
          <w:lang w:val="en-US"/>
        </w:rPr>
        <w:t>,</w:t>
      </w:r>
      <w:r w:rsidRPr="006C6BB9">
        <w:rPr>
          <w:lang w:val="en-US"/>
        </w:rPr>
        <w:t xml:space="preserve"> could this data have been influenced by any other factors? Also be wary of one-sided conclusions that only support one theory and ignore others. </w:t>
      </w:r>
    </w:p>
    <w:p w14:paraId="6AA20C09" w14:textId="77777777" w:rsidR="009C43F4" w:rsidRPr="009C43F4" w:rsidRDefault="009C43F4" w:rsidP="009C43F4">
      <w:pPr>
        <w:jc w:val="left"/>
        <w:rPr>
          <w:b/>
          <w:bCs/>
        </w:rPr>
      </w:pPr>
      <w:r w:rsidRPr="009C43F4">
        <w:rPr>
          <w:b/>
          <w:bCs/>
          <w:lang w:val="en-US"/>
        </w:rPr>
        <w:t xml:space="preserve">Limitations – </w:t>
      </w:r>
      <w:r w:rsidRPr="006C6BB9">
        <w:rPr>
          <w:lang w:val="en-US"/>
        </w:rPr>
        <w:t>any limitations within research should be clear to see. This may be that only a small number of pupils were used in the research, or certain students were excluded. Limitations that are not clear would mean it is difficult to interpret how results have been affected and draw meaningful conclusions.</w:t>
      </w:r>
      <w:r w:rsidRPr="009C43F4">
        <w:rPr>
          <w:b/>
          <w:bCs/>
          <w:lang w:val="en-US"/>
        </w:rPr>
        <w:t xml:space="preserve"> </w:t>
      </w:r>
    </w:p>
    <w:p w14:paraId="65B4A642" w14:textId="77777777" w:rsidR="009C43F4" w:rsidRPr="009C43F4" w:rsidRDefault="009C43F4" w:rsidP="009C43F4">
      <w:pPr>
        <w:jc w:val="left"/>
        <w:rPr>
          <w:b/>
          <w:bCs/>
        </w:rPr>
      </w:pPr>
      <w:r w:rsidRPr="009C43F4">
        <w:rPr>
          <w:b/>
          <w:bCs/>
          <w:lang w:val="en-US"/>
        </w:rPr>
        <w:t xml:space="preserve">Applicability – </w:t>
      </w:r>
      <w:r w:rsidRPr="006C6BB9">
        <w:rPr>
          <w:lang w:val="en-US"/>
        </w:rPr>
        <w:t>considering applicability is important when reflecting on your personal professional development. Selecting research that is considering pupil attainment when you are exploring student engagement is not going to be useful. Other red flags to be wary of are findings that are extended beyond the setting or situation they are intended for. For</w:t>
      </w:r>
      <w:r w:rsidRPr="009C43F4">
        <w:rPr>
          <w:b/>
          <w:bCs/>
          <w:lang w:val="en-US"/>
        </w:rPr>
        <w:t xml:space="preserve"> example, a study in primary setting could </w:t>
      </w:r>
      <w:r w:rsidRPr="006C6BB9">
        <w:rPr>
          <w:lang w:val="en-US"/>
        </w:rPr>
        <w:t>be applied to a secondary setting but further investigations should take place.</w:t>
      </w:r>
      <w:r w:rsidRPr="009C43F4">
        <w:rPr>
          <w:b/>
          <w:bCs/>
          <w:lang w:val="en-US"/>
        </w:rPr>
        <w:t xml:space="preserve"> </w:t>
      </w:r>
    </w:p>
    <w:p w14:paraId="5E5B2EE1" w14:textId="77777777" w:rsidR="009C43F4" w:rsidRPr="006C6BB9" w:rsidRDefault="009C43F4" w:rsidP="009C43F4">
      <w:pPr>
        <w:jc w:val="left"/>
      </w:pPr>
      <w:r w:rsidRPr="006C6BB9">
        <w:rPr>
          <w:lang w:val="en-US"/>
        </w:rPr>
        <w:lastRenderedPageBreak/>
        <w:t xml:space="preserve">Being aware of author bias is always an important consideration and is covered by the </w:t>
      </w:r>
      <w:r w:rsidRPr="0091193E">
        <w:rPr>
          <w:b/>
          <w:bCs/>
          <w:lang w:val="en-US"/>
        </w:rPr>
        <w:t>independence</w:t>
      </w:r>
      <w:r w:rsidRPr="006C6BB9">
        <w:rPr>
          <w:lang w:val="en-US"/>
        </w:rPr>
        <w:t xml:space="preserve"> statement. Think carefully about who has funded the research or would there be a commercial gain from a programme being successful.</w:t>
      </w:r>
    </w:p>
    <w:p w14:paraId="6B226612" w14:textId="77777777" w:rsidR="009C43F4" w:rsidRPr="009C43F4" w:rsidRDefault="009C43F4" w:rsidP="009C43F4">
      <w:pPr>
        <w:jc w:val="left"/>
        <w:rPr>
          <w:b/>
          <w:bCs/>
        </w:rPr>
      </w:pPr>
      <w:r w:rsidRPr="009C43F4">
        <w:rPr>
          <w:b/>
          <w:bCs/>
          <w:lang w:val="en-US"/>
        </w:rPr>
        <w:t xml:space="preserve">Methodology </w:t>
      </w:r>
      <w:r w:rsidRPr="0091193E">
        <w:rPr>
          <w:lang w:val="en-US"/>
        </w:rPr>
        <w:t>should be clear when reviewing research evidence. A red flag would be unclear methods that could not easily be repeated or analysis that does not seem appropriate to the questions that were posed.</w:t>
      </w:r>
      <w:r w:rsidRPr="009C43F4">
        <w:rPr>
          <w:b/>
          <w:bCs/>
          <w:lang w:val="en-US"/>
        </w:rPr>
        <w:t xml:space="preserve"> </w:t>
      </w:r>
    </w:p>
    <w:p w14:paraId="21B2B5CE" w14:textId="77777777" w:rsidR="009C43F4" w:rsidRPr="009C43F4" w:rsidRDefault="009C43F4" w:rsidP="009C43F4">
      <w:pPr>
        <w:jc w:val="left"/>
        <w:rPr>
          <w:b/>
          <w:bCs/>
        </w:rPr>
      </w:pPr>
      <w:r w:rsidRPr="0091193E">
        <w:rPr>
          <w:lang w:val="en-US"/>
        </w:rPr>
        <w:t>Finally, the</w:t>
      </w:r>
      <w:r w:rsidRPr="009C43F4">
        <w:rPr>
          <w:b/>
          <w:bCs/>
          <w:lang w:val="en-US"/>
        </w:rPr>
        <w:t xml:space="preserve"> sample population </w:t>
      </w:r>
      <w:r w:rsidRPr="0091193E">
        <w:rPr>
          <w:lang w:val="en-US"/>
        </w:rPr>
        <w:t>within the study should ideally be large and represent the target population. Groups taking part in the research should be balanced and be representative of the target population.</w:t>
      </w:r>
      <w:r w:rsidRPr="009C43F4">
        <w:rPr>
          <w:b/>
          <w:bCs/>
          <w:lang w:val="en-US"/>
        </w:rPr>
        <w:t xml:space="preserve"> </w:t>
      </w:r>
    </w:p>
    <w:p w14:paraId="6380D402" w14:textId="2C26BCD3" w:rsidR="00322823" w:rsidRDefault="00C17555" w:rsidP="006F79F7">
      <w:pPr>
        <w:pStyle w:val="Subheading"/>
        <w:rPr>
          <w:b w:val="0"/>
          <w:bCs w:val="0"/>
          <w:lang w:val="en-US"/>
        </w:rPr>
      </w:pPr>
      <w:r>
        <w:rPr>
          <w:lang w:val="en-US"/>
        </w:rPr>
        <w:t>Example research paper</w:t>
      </w:r>
    </w:p>
    <w:p w14:paraId="4CE51EEB" w14:textId="77777777" w:rsidR="00C17555" w:rsidRPr="00C17555" w:rsidRDefault="00C17555" w:rsidP="0091193E">
      <w:r w:rsidRPr="00C17555">
        <w:t xml:space="preserve">The following research paper considered responses to a questionnaire from 20 teachers working in secondary schools in rural locations. </w:t>
      </w:r>
    </w:p>
    <w:p w14:paraId="0CDFFE68" w14:textId="77777777" w:rsidR="00C17555" w:rsidRPr="00C17555" w:rsidRDefault="00C17555" w:rsidP="0091193E">
      <w:r w:rsidRPr="00C17555">
        <w:t xml:space="preserve">The questionnaire focused on pupils’ preferred ways of learning and how this was linked to pupil outcomes. The questionnaires were sent to staff emails with each question having a free response box. </w:t>
      </w:r>
    </w:p>
    <w:p w14:paraId="082F97E1" w14:textId="77777777" w:rsidR="00C17555" w:rsidRPr="00C17555" w:rsidRDefault="00C17555" w:rsidP="0091193E">
      <w:r w:rsidRPr="00C17555">
        <w:t xml:space="preserve">The researchers analysed responses for common themes across all the responses and were able to draw the following conclusions: </w:t>
      </w:r>
    </w:p>
    <w:p w14:paraId="24E239C7" w14:textId="77777777" w:rsidR="00C17555" w:rsidRPr="00C17555" w:rsidRDefault="00C17555" w:rsidP="00936B43">
      <w:pPr>
        <w:pStyle w:val="ListParagraph"/>
        <w:numPr>
          <w:ilvl w:val="0"/>
          <w:numId w:val="16"/>
        </w:numPr>
      </w:pPr>
      <w:r w:rsidRPr="00C17555">
        <w:t xml:space="preserve">Primary pupils who preferred working in a visual way had higher outcomes than those who preferred working in an auditory or kinaesthetic way. </w:t>
      </w:r>
    </w:p>
    <w:p w14:paraId="15CF5320" w14:textId="77777777" w:rsidR="00C17555" w:rsidRPr="00C17555" w:rsidRDefault="00C17555" w:rsidP="00936B43">
      <w:pPr>
        <w:pStyle w:val="ListParagraph"/>
        <w:numPr>
          <w:ilvl w:val="0"/>
          <w:numId w:val="16"/>
        </w:numPr>
      </w:pPr>
      <w:r w:rsidRPr="00C17555">
        <w:t xml:space="preserve">Secondary pupils preferred to work in a kinaesthetic way. Those pupils who worked in this way had higher outcomes. </w:t>
      </w:r>
    </w:p>
    <w:p w14:paraId="1AC00DC9" w14:textId="7B5BF05F" w:rsidR="00C17555" w:rsidRDefault="00CB03E8" w:rsidP="00CB03E8">
      <w:pPr>
        <w:pStyle w:val="Subheading"/>
        <w:rPr>
          <w:lang w:val="en-US"/>
        </w:rPr>
      </w:pPr>
      <w:r>
        <w:rPr>
          <w:lang w:val="en-US"/>
        </w:rPr>
        <w:t>Section 3</w:t>
      </w:r>
    </w:p>
    <w:p w14:paraId="0CE66448" w14:textId="77777777" w:rsidR="00CB03E8" w:rsidRDefault="00CB03E8" w:rsidP="00CB03E8">
      <w:r w:rsidRPr="000918FF">
        <w:t xml:space="preserve">The Personal Professional Development </w:t>
      </w:r>
      <w:r>
        <w:t>Cycle</w:t>
      </w:r>
      <w:r w:rsidRPr="000918FF">
        <w:t xml:space="preserve"> has been developed to guide you as you implement research-informed improvements into your teaching practice. You’ll be familiar with this cycle</w:t>
      </w:r>
      <w:r>
        <w:t xml:space="preserve"> from your programme introduction</w:t>
      </w:r>
      <w:r w:rsidRPr="000918FF">
        <w:t>. A reminder of the model has been included below.</w:t>
      </w:r>
      <w:r>
        <w:t xml:space="preserve"> </w:t>
      </w:r>
    </w:p>
    <w:p w14:paraId="475DDE35" w14:textId="77777777" w:rsidR="00CB03E8" w:rsidRDefault="00CB03E8" w:rsidP="00CB03E8">
      <w:r w:rsidRPr="00E050AB">
        <w:rPr>
          <w:b/>
          <w:bCs/>
          <w:noProof/>
        </w:rPr>
        <w:lastRenderedPageBreak/>
        <w:drawing>
          <wp:anchor distT="0" distB="0" distL="114300" distR="114300" simplePos="0" relativeHeight="251658246" behindDoc="1" locked="0" layoutInCell="1" allowOverlap="1" wp14:anchorId="0147E127" wp14:editId="3D953610">
            <wp:simplePos x="0" y="0"/>
            <wp:positionH relativeFrom="column">
              <wp:posOffset>0</wp:posOffset>
            </wp:positionH>
            <wp:positionV relativeFrom="paragraph">
              <wp:posOffset>285750</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5">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p>
    <w:p w14:paraId="77227DFA" w14:textId="77777777" w:rsidR="00CB03E8" w:rsidRDefault="00CB03E8" w:rsidP="00CB03E8"/>
    <w:p w14:paraId="54647165" w14:textId="0BAE0309" w:rsidR="00F94FF4" w:rsidRPr="00004453" w:rsidRDefault="00F7106C" w:rsidP="00F94FF4">
      <w:pPr>
        <w:jc w:val="left"/>
      </w:pPr>
      <w:r>
        <w:t>Each half term they will complete a</w:t>
      </w:r>
      <w:r w:rsidR="00F94FF4">
        <w:t xml:space="preserve"> self-study, starting with section 1</w:t>
      </w:r>
      <w:r w:rsidR="00F94FF4" w:rsidRPr="00004453">
        <w:t xml:space="preserve"> reading 3–4 short research summaries linked to the module to help inform their focus for the half-term. After completing a short reflection, they will agree on a focus with their mentor and select one of the readings to explore further. In Section 2 of the self-study, they will then dive deeper into the chosen paper.</w:t>
      </w:r>
      <w:r w:rsidR="00F94FF4">
        <w:t xml:space="preserve"> </w:t>
      </w:r>
      <w:r w:rsidR="00F94FF4" w:rsidRPr="00004453">
        <w:t>Mentors and ECT’s will meet fortnightly. Each meeting will have a specific focus.</w:t>
      </w:r>
    </w:p>
    <w:p w14:paraId="2C5F1B11" w14:textId="77777777" w:rsidR="00F94FF4" w:rsidRPr="00004453" w:rsidRDefault="00F94FF4" w:rsidP="00F94FF4">
      <w:pPr>
        <w:jc w:val="left"/>
      </w:pPr>
      <w:r w:rsidRPr="00EB222A">
        <w:t>In</w:t>
      </w:r>
      <w:r w:rsidRPr="00EB222A">
        <w:rPr>
          <w:b/>
          <w:bCs/>
        </w:rPr>
        <w:t xml:space="preserve"> Meeting 1</w:t>
      </w:r>
      <w:r w:rsidRPr="00004453">
        <w:t xml:space="preserve">, ECTs will </w:t>
      </w:r>
      <w:r w:rsidRPr="00004453">
        <w:rPr>
          <w:b/>
          <w:bCs/>
        </w:rPr>
        <w:t>explore</w:t>
      </w:r>
      <w:r w:rsidRPr="00004453">
        <w:t xml:space="preserve"> the specific element within a domain they personally wish to improve. With their mentor’s support, they will then </w:t>
      </w:r>
      <w:r w:rsidRPr="00004453">
        <w:rPr>
          <w:b/>
          <w:bCs/>
        </w:rPr>
        <w:t>select</w:t>
      </w:r>
      <w:r w:rsidRPr="00004453">
        <w:t xml:space="preserve"> the element to focus on for the rest of the half term and also select a reading focus. Together they will create a </w:t>
      </w:r>
      <w:r w:rsidRPr="00004453">
        <w:rPr>
          <w:b/>
          <w:bCs/>
        </w:rPr>
        <w:t>plan</w:t>
      </w:r>
      <w:r w:rsidRPr="00004453">
        <w:t xml:space="preserve"> for how to implement this improvement in their own teaching context.</w:t>
      </w:r>
    </w:p>
    <w:p w14:paraId="579E19D1" w14:textId="77777777" w:rsidR="00F94FF4" w:rsidRPr="00004453" w:rsidRDefault="00F94FF4" w:rsidP="00F94FF4">
      <w:pPr>
        <w:jc w:val="left"/>
      </w:pPr>
      <w:r w:rsidRPr="00004453">
        <w:t xml:space="preserve">During the </w:t>
      </w:r>
      <w:r w:rsidRPr="00004453">
        <w:rPr>
          <w:b/>
          <w:bCs/>
        </w:rPr>
        <w:t>do</w:t>
      </w:r>
      <w:r w:rsidRPr="00004453">
        <w:t xml:space="preserve"> phase, ECTs will put their plan into practice, keeping notes, reflecting on the impact, and making adjustments as needed. A reflective guide will support them through this process.</w:t>
      </w:r>
    </w:p>
    <w:p w14:paraId="67513B11" w14:textId="77777777" w:rsidR="00F94FF4" w:rsidRPr="00004453" w:rsidRDefault="00F94FF4" w:rsidP="00F94FF4">
      <w:pPr>
        <w:jc w:val="left"/>
      </w:pPr>
      <w:r w:rsidRPr="00EB222A">
        <w:t>In</w:t>
      </w:r>
      <w:r w:rsidRPr="00EB222A">
        <w:rPr>
          <w:b/>
          <w:bCs/>
        </w:rPr>
        <w:t xml:space="preserve"> Meeting 2</w:t>
      </w:r>
      <w:r w:rsidRPr="00004453">
        <w:t xml:space="preserve">, ECTs will </w:t>
      </w:r>
      <w:r w:rsidRPr="00004453">
        <w:rPr>
          <w:b/>
          <w:bCs/>
        </w:rPr>
        <w:t>review</w:t>
      </w:r>
      <w:r w:rsidRPr="00004453">
        <w:t xml:space="preserve"> the impact so far with their mentor, using their reflections to identify any changes needed to ensure all pupils are making progress. They will then </w:t>
      </w:r>
      <w:r w:rsidRPr="00004453">
        <w:rPr>
          <w:b/>
          <w:bCs/>
        </w:rPr>
        <w:t>re-do</w:t>
      </w:r>
      <w:r w:rsidRPr="00004453">
        <w:t xml:space="preserve"> the practice, continuing to monitor impact and reflect at each stage.</w:t>
      </w:r>
    </w:p>
    <w:p w14:paraId="3253FAB4" w14:textId="77777777" w:rsidR="00F94FF4" w:rsidRPr="00004453" w:rsidRDefault="00F94FF4" w:rsidP="00F94FF4">
      <w:pPr>
        <w:jc w:val="left"/>
      </w:pPr>
      <w:r w:rsidRPr="00004453">
        <w:t xml:space="preserve">In </w:t>
      </w:r>
      <w:r w:rsidRPr="00EB222A">
        <w:rPr>
          <w:b/>
          <w:bCs/>
        </w:rPr>
        <w:t>Meeting 3,</w:t>
      </w:r>
      <w:r w:rsidRPr="00004453">
        <w:t xml:space="preserve"> at the end of the module, ECTs will </w:t>
      </w:r>
      <w:r w:rsidRPr="00004453">
        <w:rPr>
          <w:b/>
          <w:bCs/>
        </w:rPr>
        <w:t>review</w:t>
      </w:r>
      <w:r w:rsidRPr="00004453">
        <w:t xml:space="preserve"> and reflect on the experience of implementing their chosen improvement. This reflection will inform future refinements to their teaching practice.</w:t>
      </w:r>
    </w:p>
    <w:p w14:paraId="503F9469" w14:textId="0757A9D9" w:rsidR="00322823" w:rsidRDefault="00F94FF4" w:rsidP="00F94FF4">
      <w:pPr>
        <w:jc w:val="left"/>
        <w:rPr>
          <w:b/>
          <w:bCs/>
          <w:lang w:val="en-US"/>
        </w:rPr>
      </w:pPr>
      <w:r w:rsidRPr="00004453">
        <w:t xml:space="preserve">The personal professional development model serves as a guide to support ECTs not only in </w:t>
      </w:r>
      <w:r w:rsidR="007918FD">
        <w:t>y</w:t>
      </w:r>
      <w:r w:rsidRPr="00004453">
        <w:t xml:space="preserve">ear 2, but also as a framework they can use independently in </w:t>
      </w:r>
      <w:r w:rsidR="007918FD">
        <w:t>y</w:t>
      </w:r>
      <w:r w:rsidRPr="00004453">
        <w:t>ear 3 and beyond</w:t>
      </w:r>
    </w:p>
    <w:p w14:paraId="676DCAB5" w14:textId="7134EF40" w:rsidR="00245119" w:rsidRDefault="00245119" w:rsidP="00D8746D">
      <w:pPr>
        <w:pStyle w:val="Subheading"/>
      </w:pPr>
      <w:r>
        <w:lastRenderedPageBreak/>
        <w:t>Reflection model</w:t>
      </w:r>
    </w:p>
    <w:p w14:paraId="6398297F" w14:textId="4B455D88" w:rsidR="00B827D0" w:rsidRDefault="00B827D0" w:rsidP="0091193E">
      <w:pPr>
        <w:pStyle w:val="Subheading"/>
        <w:jc w:val="center"/>
      </w:pPr>
      <w:r>
        <w:rPr>
          <w:noProof/>
        </w:rPr>
        <w:drawing>
          <wp:inline distT="0" distB="0" distL="0" distR="0" wp14:anchorId="5F60A5FF" wp14:editId="05FC6335">
            <wp:extent cx="4233584" cy="3776516"/>
            <wp:effectExtent l="0" t="0" r="0" b="0"/>
            <wp:docPr id="1543964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43304" cy="3785186"/>
                    </a:xfrm>
                    <a:prstGeom prst="rect">
                      <a:avLst/>
                    </a:prstGeom>
                    <a:noFill/>
                  </pic:spPr>
                </pic:pic>
              </a:graphicData>
            </a:graphic>
          </wp:inline>
        </w:drawing>
      </w:r>
    </w:p>
    <w:p w14:paraId="55344517" w14:textId="77777777" w:rsidR="00B827D0" w:rsidRDefault="00B827D0" w:rsidP="0091193E">
      <w:pPr>
        <w:pStyle w:val="Subheading"/>
        <w:jc w:val="center"/>
      </w:pPr>
    </w:p>
    <w:p w14:paraId="04BD9B69" w14:textId="77777777" w:rsidR="00CB1EBD" w:rsidRPr="00CB1EBD" w:rsidRDefault="00CB1EBD" w:rsidP="00CB1EBD">
      <w:r w:rsidRPr="00CB1EBD">
        <w:t xml:space="preserve">Gibbs' Reflective Cycle (1988) is a structured model for reflection and could be used by teachers to analyse experiences and improve their practice as suggested by the EEF (2021b). By working through each stage, you can identify strengths, address challenges, and plan for future improvements. </w:t>
      </w:r>
    </w:p>
    <w:p w14:paraId="7B14A3D0" w14:textId="77777777" w:rsidR="00CB1EBD" w:rsidRPr="00CB1EBD" w:rsidRDefault="00CB1EBD" w:rsidP="00CB1EBD">
      <w:r w:rsidRPr="00CB1EBD">
        <w:rPr>
          <w:b/>
          <w:bCs/>
        </w:rPr>
        <w:t>Source:</w:t>
      </w:r>
      <w:r w:rsidRPr="00CB1EBD">
        <w:t xml:space="preserve"> Gibbs, G. (1998) Learning by Doing: A Guide to Teaching and Learning Methods. Oxford: Further Education Unit, Oxford Polytechnic. </w:t>
      </w:r>
    </w:p>
    <w:p w14:paraId="25C85C89" w14:textId="77777777" w:rsidR="00CB1EBD" w:rsidRDefault="00CB1EBD" w:rsidP="00D8746D">
      <w:pPr>
        <w:pStyle w:val="Subheading"/>
      </w:pPr>
    </w:p>
    <w:p w14:paraId="098D7EFE" w14:textId="77777777" w:rsidR="00245119" w:rsidRDefault="00245119" w:rsidP="00D8746D">
      <w:pPr>
        <w:pStyle w:val="Subheading"/>
      </w:pPr>
    </w:p>
    <w:p w14:paraId="00DAB7B3" w14:textId="66B4CC11" w:rsidR="00245119" w:rsidRDefault="00245119" w:rsidP="00D8746D">
      <w:pPr>
        <w:pStyle w:val="Subheading"/>
      </w:pPr>
    </w:p>
    <w:p w14:paraId="0137E5F1" w14:textId="77777777" w:rsidR="00245119" w:rsidRDefault="00245119" w:rsidP="00D8746D">
      <w:pPr>
        <w:pStyle w:val="Subheading"/>
      </w:pPr>
    </w:p>
    <w:p w14:paraId="4DF78166" w14:textId="1B34C31E" w:rsidR="00245119" w:rsidRDefault="00245119" w:rsidP="00D8746D">
      <w:pPr>
        <w:pStyle w:val="Subheading"/>
      </w:pPr>
    </w:p>
    <w:p w14:paraId="51864B8E" w14:textId="77777777" w:rsidR="00245119" w:rsidRDefault="00245119" w:rsidP="00D8746D">
      <w:pPr>
        <w:pStyle w:val="Subheading"/>
      </w:pPr>
    </w:p>
    <w:p w14:paraId="22955A27" w14:textId="70A7C1A3" w:rsidR="00245119" w:rsidRDefault="00245119" w:rsidP="00D8746D">
      <w:pPr>
        <w:pStyle w:val="Subheading"/>
      </w:pPr>
    </w:p>
    <w:p w14:paraId="2C24B133" w14:textId="77777777" w:rsidR="00245119" w:rsidRDefault="00245119" w:rsidP="00D8746D">
      <w:pPr>
        <w:pStyle w:val="Subheading"/>
      </w:pPr>
    </w:p>
    <w:p w14:paraId="20E8D06F" w14:textId="77777777" w:rsidR="00E63484" w:rsidRDefault="00D8746D" w:rsidP="00E63484">
      <w:pPr>
        <w:pStyle w:val="Subheading"/>
      </w:pPr>
      <w:r>
        <w:lastRenderedPageBreak/>
        <w:t>Section 4</w:t>
      </w:r>
    </w:p>
    <w:p w14:paraId="273095A3" w14:textId="305DFE12" w:rsidR="00E63484" w:rsidRPr="006B1240" w:rsidRDefault="00E63484" w:rsidP="00E63484">
      <w:r w:rsidRPr="00E63484">
        <w:rPr>
          <w:b/>
          <w:bCs/>
        </w:rPr>
        <w:t>Source</w:t>
      </w:r>
      <w:r w:rsidRPr="00E63484">
        <w:t>: OECD (2020)</w:t>
      </w:r>
      <w:r w:rsidRPr="006B1240">
        <w:t xml:space="preserve"> Supporting teacher professionalism: Insights from TALIS 2018. OECD Publishing. </w:t>
      </w:r>
      <w:hyperlink r:id="rId27" w:history="1">
        <w:r w:rsidRPr="00B827D0">
          <w:rPr>
            <w:rStyle w:val="Hyperlink"/>
            <w:color w:val="0070C0"/>
          </w:rPr>
          <w:t>Teachers’ well-being (EN)</w:t>
        </w:r>
      </w:hyperlink>
    </w:p>
    <w:p w14:paraId="48075F13" w14:textId="77777777" w:rsidR="006B1240" w:rsidRPr="006B1240" w:rsidRDefault="006B1240" w:rsidP="00936B43">
      <w:pPr>
        <w:pStyle w:val="ListParagraph"/>
        <w:numPr>
          <w:ilvl w:val="0"/>
          <w:numId w:val="9"/>
        </w:numPr>
      </w:pPr>
      <w:r w:rsidRPr="006B1240">
        <w:rPr>
          <w:lang w:val="en-US"/>
        </w:rPr>
        <w:t>Teacher shortages and high turnover are growing global challenges.</w:t>
      </w:r>
    </w:p>
    <w:p w14:paraId="5DD73E35" w14:textId="77777777" w:rsidR="006B1240" w:rsidRPr="006B1240" w:rsidRDefault="006B1240" w:rsidP="00936B43">
      <w:pPr>
        <w:pStyle w:val="ListParagraph"/>
        <w:numPr>
          <w:ilvl w:val="0"/>
          <w:numId w:val="9"/>
        </w:numPr>
      </w:pPr>
      <w:r w:rsidRPr="006B1240">
        <w:rPr>
          <w:lang w:val="en-US"/>
        </w:rPr>
        <w:t xml:space="preserve">Early career teachers are most at risk of leaving within the first five years. </w:t>
      </w:r>
    </w:p>
    <w:p w14:paraId="257A5D15" w14:textId="77777777" w:rsidR="006B1240" w:rsidRPr="006B1240" w:rsidRDefault="006B1240" w:rsidP="00936B43">
      <w:pPr>
        <w:pStyle w:val="ListParagraph"/>
        <w:numPr>
          <w:ilvl w:val="0"/>
          <w:numId w:val="9"/>
        </w:numPr>
      </w:pPr>
      <w:r w:rsidRPr="006B1240">
        <w:rPr>
          <w:lang w:val="en-US"/>
        </w:rPr>
        <w:t>Stressful working conditions can lower motivation and job commitment.</w:t>
      </w:r>
    </w:p>
    <w:p w14:paraId="6251C2B2" w14:textId="77777777" w:rsidR="006B1240" w:rsidRPr="006B1240" w:rsidRDefault="006B1240" w:rsidP="00936B43">
      <w:pPr>
        <w:pStyle w:val="ListParagraph"/>
        <w:numPr>
          <w:ilvl w:val="0"/>
          <w:numId w:val="9"/>
        </w:numPr>
      </w:pPr>
      <w:r w:rsidRPr="006B1240">
        <w:rPr>
          <w:lang w:val="en-US"/>
        </w:rPr>
        <w:t>Supporting teacher well-being improves retention and teaching quality.</w:t>
      </w:r>
    </w:p>
    <w:p w14:paraId="12838E37" w14:textId="77777777" w:rsidR="00BB2996" w:rsidRPr="00BB2996" w:rsidRDefault="00BB2996" w:rsidP="00BB2996">
      <w:pPr>
        <w:jc w:val="left"/>
      </w:pPr>
      <w:r w:rsidRPr="00BB2996">
        <w:rPr>
          <w:b/>
          <w:bCs/>
        </w:rPr>
        <w:t>The Core Dimensions of Teachers’ Well-being (OECD, 2020)</w:t>
      </w:r>
    </w:p>
    <w:p w14:paraId="5BF39265" w14:textId="77777777" w:rsidR="00BB2996" w:rsidRPr="00BB2996" w:rsidRDefault="00BB2996" w:rsidP="00BB2996">
      <w:r w:rsidRPr="00BB2996">
        <w:rPr>
          <w:b/>
          <w:bCs/>
        </w:rPr>
        <w:t>Cognitive well-being</w:t>
      </w:r>
      <w:r w:rsidRPr="00BB2996">
        <w:t xml:space="preserve"> – How you think and process at work</w:t>
      </w:r>
    </w:p>
    <w:p w14:paraId="2A44124C" w14:textId="77777777" w:rsidR="00BB2996" w:rsidRPr="00BB2996" w:rsidRDefault="00BB2996" w:rsidP="00936B43">
      <w:pPr>
        <w:pStyle w:val="ListParagraph"/>
        <w:numPr>
          <w:ilvl w:val="0"/>
          <w:numId w:val="10"/>
        </w:numPr>
      </w:pPr>
      <w:r w:rsidRPr="00BB2996">
        <w:t>Involves focus, problem-solving, and decision-making.</w:t>
      </w:r>
    </w:p>
    <w:p w14:paraId="107EACC7" w14:textId="77777777" w:rsidR="00BB2996" w:rsidRPr="00BB2996" w:rsidRDefault="00BB2996" w:rsidP="00936B43">
      <w:pPr>
        <w:pStyle w:val="ListParagraph"/>
        <w:numPr>
          <w:ilvl w:val="0"/>
          <w:numId w:val="10"/>
        </w:numPr>
      </w:pPr>
      <w:r w:rsidRPr="00BB2996">
        <w:t xml:space="preserve">Linked to </w:t>
      </w:r>
      <w:r w:rsidRPr="00BB2996">
        <w:rPr>
          <w:b/>
          <w:bCs/>
        </w:rPr>
        <w:t>self-efficacy</w:t>
      </w:r>
      <w:r w:rsidRPr="00BB2996">
        <w:t xml:space="preserve"> – confidence in managing classrooms, delivering lessons, and engaging pupils.</w:t>
      </w:r>
    </w:p>
    <w:p w14:paraId="66B7067D" w14:textId="77777777" w:rsidR="00BB2996" w:rsidRPr="00BB2996" w:rsidRDefault="00BB2996" w:rsidP="00936B43">
      <w:pPr>
        <w:pStyle w:val="ListParagraph"/>
        <w:numPr>
          <w:ilvl w:val="0"/>
          <w:numId w:val="10"/>
        </w:numPr>
      </w:pPr>
      <w:r w:rsidRPr="00BB2996">
        <w:t>Strong cognitive well-being supports motivation, innovation, and effective teaching practice.</w:t>
      </w:r>
    </w:p>
    <w:p w14:paraId="1680CC18" w14:textId="77777777" w:rsidR="00BB2996" w:rsidRPr="00BB2996" w:rsidRDefault="00BB2996" w:rsidP="00BB2996">
      <w:r w:rsidRPr="00BB2996">
        <w:rPr>
          <w:b/>
          <w:bCs/>
        </w:rPr>
        <w:t>Subjective well-being</w:t>
      </w:r>
      <w:r w:rsidRPr="00BB2996">
        <w:t xml:space="preserve"> – How you feel about your role and purpose</w:t>
      </w:r>
    </w:p>
    <w:p w14:paraId="662270A9" w14:textId="77777777" w:rsidR="00BB2996" w:rsidRPr="00BB2996" w:rsidRDefault="00BB2996" w:rsidP="00936B43">
      <w:pPr>
        <w:pStyle w:val="ListParagraph"/>
        <w:numPr>
          <w:ilvl w:val="0"/>
          <w:numId w:val="11"/>
        </w:numPr>
      </w:pPr>
      <w:r w:rsidRPr="00BB2996">
        <w:t>Encompasses emotional states, job satisfaction, and sense of purpose.</w:t>
      </w:r>
    </w:p>
    <w:p w14:paraId="5248E939" w14:textId="77777777" w:rsidR="00BB2996" w:rsidRPr="00BB2996" w:rsidRDefault="00BB2996" w:rsidP="00936B43">
      <w:pPr>
        <w:pStyle w:val="ListParagraph"/>
        <w:numPr>
          <w:ilvl w:val="0"/>
          <w:numId w:val="11"/>
        </w:numPr>
      </w:pPr>
      <w:r w:rsidRPr="00BB2996">
        <w:t>Teachers with higher job satisfaction and fulfilment are more committed, motivated, and resilient.</w:t>
      </w:r>
    </w:p>
    <w:p w14:paraId="522803C7" w14:textId="77777777" w:rsidR="00BB2996" w:rsidRPr="00BB2996" w:rsidRDefault="00BB2996" w:rsidP="00936B43">
      <w:pPr>
        <w:pStyle w:val="ListParagraph"/>
        <w:numPr>
          <w:ilvl w:val="0"/>
          <w:numId w:val="11"/>
        </w:numPr>
      </w:pPr>
      <w:r w:rsidRPr="00BB2996">
        <w:t>Recognising both the positives and pressures of teaching helps maintain balance.</w:t>
      </w:r>
    </w:p>
    <w:p w14:paraId="6425BB7D" w14:textId="77777777" w:rsidR="00BB2996" w:rsidRPr="00BB2996" w:rsidRDefault="00BB2996" w:rsidP="00BB2996">
      <w:r w:rsidRPr="00BB2996">
        <w:rPr>
          <w:b/>
          <w:bCs/>
        </w:rPr>
        <w:t>Physical and mental well-being</w:t>
      </w:r>
      <w:r w:rsidRPr="00BB2996">
        <w:t xml:space="preserve"> – How your body and mind respond to work demands</w:t>
      </w:r>
    </w:p>
    <w:p w14:paraId="16968E38" w14:textId="77777777" w:rsidR="00BB2996" w:rsidRPr="00BB2996" w:rsidRDefault="00BB2996" w:rsidP="00936B43">
      <w:pPr>
        <w:pStyle w:val="ListParagraph"/>
        <w:numPr>
          <w:ilvl w:val="0"/>
          <w:numId w:val="12"/>
        </w:numPr>
      </w:pPr>
      <w:r w:rsidRPr="00BB2996">
        <w:t>Reflects stress levels, fatigue, and psychosomatic symptoms such as headaches or poor sleep.</w:t>
      </w:r>
    </w:p>
    <w:p w14:paraId="28DAABB9" w14:textId="77777777" w:rsidR="00BB2996" w:rsidRPr="00BB2996" w:rsidRDefault="00BB2996" w:rsidP="00936B43">
      <w:pPr>
        <w:pStyle w:val="ListParagraph"/>
        <w:numPr>
          <w:ilvl w:val="0"/>
          <w:numId w:val="12"/>
        </w:numPr>
      </w:pPr>
      <w:r w:rsidRPr="00BB2996">
        <w:t>Long hours and workload can affect both physical health and mood.</w:t>
      </w:r>
    </w:p>
    <w:p w14:paraId="67FAA694" w14:textId="77777777" w:rsidR="00BB2996" w:rsidRPr="00BB2996" w:rsidRDefault="00BB2996" w:rsidP="00936B43">
      <w:pPr>
        <w:pStyle w:val="ListParagraph"/>
        <w:numPr>
          <w:ilvl w:val="0"/>
          <w:numId w:val="12"/>
        </w:numPr>
      </w:pPr>
      <w:r w:rsidRPr="00BB2996">
        <w:t>Awareness helps teachers recognise when demands outweigh resources and take steps to restore balance.</w:t>
      </w:r>
    </w:p>
    <w:p w14:paraId="15D57BD2" w14:textId="77777777" w:rsidR="00BB2996" w:rsidRPr="00BB2996" w:rsidRDefault="00BB2996" w:rsidP="00BB2996">
      <w:r w:rsidRPr="00BB2996">
        <w:rPr>
          <w:b/>
          <w:bCs/>
        </w:rPr>
        <w:t>Social well-being</w:t>
      </w:r>
      <w:r w:rsidRPr="00BB2996">
        <w:t xml:space="preserve"> – The quality of your relationships at work</w:t>
      </w:r>
    </w:p>
    <w:p w14:paraId="39FBEB06" w14:textId="77777777" w:rsidR="00BB2996" w:rsidRPr="00BB2996" w:rsidRDefault="00BB2996" w:rsidP="00936B43">
      <w:pPr>
        <w:pStyle w:val="ListParagraph"/>
        <w:numPr>
          <w:ilvl w:val="0"/>
          <w:numId w:val="13"/>
        </w:numPr>
      </w:pPr>
      <w:r w:rsidRPr="00BB2996">
        <w:t>Focuses on positive relationships with pupils, colleagues, and school leaders.</w:t>
      </w:r>
    </w:p>
    <w:p w14:paraId="107426D1" w14:textId="77777777" w:rsidR="00BB2996" w:rsidRPr="00BB2996" w:rsidRDefault="00BB2996" w:rsidP="00936B43">
      <w:pPr>
        <w:pStyle w:val="ListParagraph"/>
        <w:numPr>
          <w:ilvl w:val="0"/>
          <w:numId w:val="13"/>
        </w:numPr>
      </w:pPr>
      <w:r w:rsidRPr="00BB2996">
        <w:t>A supportive school culture and strong professional trust improve well-being and confidence.</w:t>
      </w:r>
    </w:p>
    <w:p w14:paraId="5301C70A" w14:textId="77777777" w:rsidR="00BB2996" w:rsidRPr="00BB2996" w:rsidRDefault="00BB2996" w:rsidP="00936B43">
      <w:pPr>
        <w:pStyle w:val="ListParagraph"/>
        <w:numPr>
          <w:ilvl w:val="0"/>
          <w:numId w:val="13"/>
        </w:numPr>
      </w:pPr>
      <w:r w:rsidRPr="00BB2996">
        <w:t>Collaboration and positive relationships also enhance teaching quality and student outcomes.</w:t>
      </w:r>
    </w:p>
    <w:p w14:paraId="3FA33CCC" w14:textId="77777777" w:rsidR="00E63484" w:rsidRPr="00E63484" w:rsidRDefault="00E63484" w:rsidP="00E63484">
      <w:pPr>
        <w:jc w:val="left"/>
      </w:pPr>
      <w:r w:rsidRPr="00E63484">
        <w:rPr>
          <w:b/>
          <w:bCs/>
        </w:rPr>
        <w:lastRenderedPageBreak/>
        <w:t>Workload:</w:t>
      </w:r>
      <w:r w:rsidRPr="00E63484">
        <w:t xml:space="preserve"> Excessive hours, especially time spent on non-teaching administrative tasks. </w:t>
      </w:r>
    </w:p>
    <w:p w14:paraId="74602E81" w14:textId="77777777" w:rsidR="00E63484" w:rsidRPr="00E63484" w:rsidRDefault="00E63484" w:rsidP="00E63484">
      <w:pPr>
        <w:jc w:val="left"/>
      </w:pPr>
      <w:r w:rsidRPr="00E63484">
        <w:rPr>
          <w:b/>
          <w:bCs/>
        </w:rPr>
        <w:t>Multiple Roles:</w:t>
      </w:r>
      <w:r w:rsidRPr="00E63484">
        <w:t xml:space="preserve"> Expectations to handle tasks beyond teaching, such as school management, extensive parent communication, or counselling students. </w:t>
      </w:r>
    </w:p>
    <w:p w14:paraId="28E5073F" w14:textId="77777777" w:rsidR="00E63484" w:rsidRPr="00E63484" w:rsidRDefault="00E63484" w:rsidP="00E63484">
      <w:pPr>
        <w:jc w:val="left"/>
      </w:pPr>
      <w:r w:rsidRPr="00E63484">
        <w:rPr>
          <w:b/>
          <w:bCs/>
        </w:rPr>
        <w:t>Classroom Composition:</w:t>
      </w:r>
      <w:r w:rsidRPr="00E63484">
        <w:t xml:space="preserve"> Working with a high proportion of students who are </w:t>
      </w:r>
      <w:r w:rsidRPr="00E63484">
        <w:rPr>
          <w:b/>
          <w:bCs/>
        </w:rPr>
        <w:t>low academic achievers</w:t>
      </w:r>
      <w:r w:rsidRPr="00E63484">
        <w:t xml:space="preserve"> or have </w:t>
      </w:r>
      <w:r w:rsidRPr="00E63484">
        <w:rPr>
          <w:b/>
          <w:bCs/>
        </w:rPr>
        <w:t>behavioural problems</w:t>
      </w:r>
      <w:r w:rsidRPr="00E63484">
        <w:t xml:space="preserve"> or special needs can negatively impact satisfaction. </w:t>
      </w:r>
    </w:p>
    <w:p w14:paraId="7553C371" w14:textId="1332B853" w:rsidR="00E63484" w:rsidRPr="00E63484" w:rsidRDefault="00E63484" w:rsidP="00E63484">
      <w:pPr>
        <w:jc w:val="left"/>
      </w:pPr>
      <w:r w:rsidRPr="00E63484">
        <w:rPr>
          <w:b/>
          <w:bCs/>
        </w:rPr>
        <w:t>Disciplinary Climate:</w:t>
      </w:r>
      <w:r w:rsidRPr="00E63484">
        <w:t xml:space="preserve"> Disruptive student behavio</w:t>
      </w:r>
      <w:r w:rsidR="00DB12B6">
        <w:t>u</w:t>
      </w:r>
      <w:r w:rsidRPr="00E63484">
        <w:t>rs are major causes of psychological strain, stress, and burnout. </w:t>
      </w:r>
    </w:p>
    <w:p w14:paraId="297DB1CD" w14:textId="77777777" w:rsidR="00E63484" w:rsidRPr="00E63484" w:rsidRDefault="00E63484" w:rsidP="00E63484">
      <w:pPr>
        <w:jc w:val="left"/>
      </w:pPr>
      <w:r w:rsidRPr="00E63484">
        <w:rPr>
          <w:b/>
          <w:bCs/>
        </w:rPr>
        <w:t>Physical Learning Environment:</w:t>
      </w:r>
      <w:r w:rsidRPr="00E63484">
        <w:t xml:space="preserve"> Disagreeable environments (e.g., poor lighting, high noise, lack of specialized facilities) have been associated with teacher burnout. </w:t>
      </w:r>
    </w:p>
    <w:p w14:paraId="561AC0BD" w14:textId="77777777" w:rsidR="00E63484" w:rsidRPr="00E63484" w:rsidRDefault="00E63484" w:rsidP="00E63484">
      <w:pPr>
        <w:jc w:val="left"/>
      </w:pPr>
      <w:r w:rsidRPr="00E63484">
        <w:t>These are aspects that help reduce job demands, are functional in achieving goals, and stimulate personal growth and development. </w:t>
      </w:r>
    </w:p>
    <w:p w14:paraId="5B61067F" w14:textId="77777777" w:rsidR="00E63484" w:rsidRPr="00E63484" w:rsidRDefault="00E63484" w:rsidP="00E63484">
      <w:pPr>
        <w:jc w:val="left"/>
      </w:pPr>
      <w:r w:rsidRPr="00E63484">
        <w:rPr>
          <w:b/>
          <w:bCs/>
        </w:rPr>
        <w:t>Social Support:</w:t>
      </w:r>
      <w:r w:rsidRPr="00E63484">
        <w:t xml:space="preserve"> Support from colleagues and principals is a major resource. Principal support may have the biggest impact on increasing job satisfaction and reducing burnout risk. </w:t>
      </w:r>
    </w:p>
    <w:p w14:paraId="34432F4C" w14:textId="77777777" w:rsidR="00E63484" w:rsidRPr="00E63484" w:rsidRDefault="00E63484" w:rsidP="00E63484">
      <w:pPr>
        <w:jc w:val="left"/>
      </w:pPr>
      <w:r w:rsidRPr="00E63484">
        <w:rPr>
          <w:b/>
          <w:bCs/>
        </w:rPr>
        <w:t>Work Autonomy:</w:t>
      </w:r>
      <w:r w:rsidRPr="00E63484">
        <w:t xml:space="preserve"> Having freedom to choose teaching methods, educational strategies, and content within curriculum limits. Autonomy is linked to higher job satisfaction. </w:t>
      </w:r>
    </w:p>
    <w:p w14:paraId="107A4570" w14:textId="77777777" w:rsidR="00E63484" w:rsidRPr="00E63484" w:rsidRDefault="00E63484" w:rsidP="00E63484">
      <w:pPr>
        <w:jc w:val="left"/>
      </w:pPr>
      <w:r w:rsidRPr="00E63484">
        <w:rPr>
          <w:b/>
          <w:bCs/>
        </w:rPr>
        <w:t>Training and Professional Opportunities:</w:t>
      </w:r>
      <w:r w:rsidRPr="00E63484">
        <w:t xml:space="preserve"> Access to continuous professional learning (e.g., mentoring, peer collaboration) gives you the knowledge and skills needed for effective work and relates to increased job satisfaction. </w:t>
      </w:r>
    </w:p>
    <w:p w14:paraId="3DC69076" w14:textId="77777777" w:rsidR="00E63484" w:rsidRDefault="00E63484" w:rsidP="00E63484">
      <w:pPr>
        <w:jc w:val="left"/>
      </w:pPr>
      <w:r w:rsidRPr="00E63484">
        <w:rPr>
          <w:b/>
          <w:bCs/>
        </w:rPr>
        <w:t>Appraisal and Feedback:</w:t>
      </w:r>
      <w:r w:rsidRPr="00E63484">
        <w:t xml:space="preserve"> Receiving clear, performance-based feedback acts as an important job resource to help you cope with demands. </w:t>
      </w:r>
    </w:p>
    <w:p w14:paraId="4EBDBDDE" w14:textId="77777777" w:rsidR="00C64990" w:rsidRDefault="00C64990" w:rsidP="00D75572">
      <w:pPr>
        <w:rPr>
          <w:b/>
          <w:bCs/>
        </w:rPr>
      </w:pPr>
    </w:p>
    <w:p w14:paraId="3E2194B8" w14:textId="77777777" w:rsidR="00C64990" w:rsidRDefault="00C64990" w:rsidP="00D75572">
      <w:pPr>
        <w:rPr>
          <w:b/>
          <w:bCs/>
        </w:rPr>
      </w:pPr>
    </w:p>
    <w:p w14:paraId="789EEE4F" w14:textId="77777777" w:rsidR="00C64990" w:rsidRDefault="00C64990" w:rsidP="00D75572">
      <w:pPr>
        <w:rPr>
          <w:b/>
          <w:bCs/>
        </w:rPr>
      </w:pPr>
    </w:p>
    <w:p w14:paraId="40E23B5F" w14:textId="77777777" w:rsidR="00C64990" w:rsidRDefault="00C64990" w:rsidP="00D75572">
      <w:pPr>
        <w:rPr>
          <w:b/>
          <w:bCs/>
        </w:rPr>
      </w:pPr>
    </w:p>
    <w:p w14:paraId="734B178C" w14:textId="77777777" w:rsidR="00C64990" w:rsidRDefault="00C64990" w:rsidP="00D75572">
      <w:pPr>
        <w:rPr>
          <w:b/>
          <w:bCs/>
        </w:rPr>
      </w:pPr>
    </w:p>
    <w:p w14:paraId="21099098" w14:textId="77777777" w:rsidR="00C64990" w:rsidRDefault="00C64990" w:rsidP="00D75572">
      <w:pPr>
        <w:rPr>
          <w:b/>
          <w:bCs/>
        </w:rPr>
      </w:pPr>
    </w:p>
    <w:p w14:paraId="2BE7759A" w14:textId="77777777" w:rsidR="00C64990" w:rsidRDefault="00C64990" w:rsidP="00D75572">
      <w:pPr>
        <w:rPr>
          <w:b/>
          <w:bCs/>
        </w:rPr>
      </w:pPr>
    </w:p>
    <w:p w14:paraId="38BC30CD" w14:textId="06FCD0EB" w:rsidR="00D75572" w:rsidRPr="00D75572" w:rsidRDefault="00D75572" w:rsidP="00D75572">
      <w:pPr>
        <w:rPr>
          <w:b/>
          <w:bCs/>
        </w:rPr>
      </w:pPr>
      <w:r w:rsidRPr="00D75572">
        <w:rPr>
          <w:b/>
          <w:bCs/>
        </w:rPr>
        <w:lastRenderedPageBreak/>
        <w:t>Managing well-being</w:t>
      </w:r>
    </w:p>
    <w:p w14:paraId="671D25F0" w14:textId="6EAC7613" w:rsidR="001127E5" w:rsidRDefault="00D75572" w:rsidP="00D75572">
      <w:pPr>
        <w:jc w:val="center"/>
      </w:pPr>
      <w:r w:rsidRPr="00D75572">
        <w:rPr>
          <w:noProof/>
        </w:rPr>
        <w:drawing>
          <wp:inline distT="0" distB="0" distL="0" distR="0" wp14:anchorId="693AAC9D" wp14:editId="0AFCEAAA">
            <wp:extent cx="4142949" cy="1964123"/>
            <wp:effectExtent l="19050" t="19050" r="10160" b="17145"/>
            <wp:docPr id="18" name="Picture 17">
              <a:extLst xmlns:a="http://schemas.openxmlformats.org/drawingml/2006/main">
                <a:ext uri="{FF2B5EF4-FFF2-40B4-BE49-F238E27FC236}">
                  <a16:creationId xmlns:a16="http://schemas.microsoft.com/office/drawing/2014/main" id="{84B12E6D-FBE1-7E64-8EBA-3D2F24FA1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84B12E6D-FBE1-7E64-8EBA-3D2F24FA1454}"/>
                        </a:ext>
                      </a:extLst>
                    </pic:cNvPr>
                    <pic:cNvPicPr>
                      <a:picLocks noChangeAspect="1"/>
                    </pic:cNvPicPr>
                  </pic:nvPicPr>
                  <pic:blipFill>
                    <a:blip r:embed="rId28"/>
                    <a:stretch>
                      <a:fillRect/>
                    </a:stretch>
                  </pic:blipFill>
                  <pic:spPr>
                    <a:xfrm>
                      <a:off x="0" y="0"/>
                      <a:ext cx="4142949" cy="1964123"/>
                    </a:xfrm>
                    <a:prstGeom prst="rect">
                      <a:avLst/>
                    </a:prstGeom>
                    <a:ln>
                      <a:solidFill>
                        <a:schemeClr val="tx1"/>
                      </a:solidFill>
                    </a:ln>
                  </pic:spPr>
                </pic:pic>
              </a:graphicData>
            </a:graphic>
          </wp:inline>
        </w:drawing>
      </w:r>
    </w:p>
    <w:p w14:paraId="73307028" w14:textId="77777777" w:rsidR="0029597A" w:rsidRPr="0029597A" w:rsidRDefault="0029597A" w:rsidP="0029597A">
      <w:pPr>
        <w:jc w:val="left"/>
      </w:pPr>
      <w:r w:rsidRPr="0029597A">
        <w:rPr>
          <w:b/>
          <w:bCs/>
        </w:rPr>
        <w:t>Inward Outcomes (Personal):</w:t>
      </w:r>
      <w:r w:rsidRPr="0029597A">
        <w:t> </w:t>
      </w:r>
    </w:p>
    <w:p w14:paraId="244B9E54" w14:textId="77777777" w:rsidR="0029597A" w:rsidRPr="0029597A" w:rsidRDefault="0029597A" w:rsidP="00936B43">
      <w:pPr>
        <w:pStyle w:val="ListParagraph"/>
        <w:numPr>
          <w:ilvl w:val="0"/>
          <w:numId w:val="14"/>
        </w:numPr>
      </w:pPr>
      <w:r w:rsidRPr="0029597A">
        <w:t xml:space="preserve">Low well-being and high job demands lead to increased </w:t>
      </w:r>
      <w:r w:rsidRPr="0029597A">
        <w:rPr>
          <w:b/>
          <w:bCs/>
        </w:rPr>
        <w:t>Stress and Burnout</w:t>
      </w:r>
      <w:r w:rsidRPr="0029597A">
        <w:t>. Burnout has negative effects on school performance, organizational commitment, and leads to high turnover and absenteeism. </w:t>
      </w:r>
    </w:p>
    <w:p w14:paraId="0405B04C" w14:textId="77777777" w:rsidR="0029597A" w:rsidRPr="0029597A" w:rsidRDefault="0029597A" w:rsidP="00936B43">
      <w:pPr>
        <w:pStyle w:val="ListParagraph"/>
        <w:numPr>
          <w:ilvl w:val="0"/>
          <w:numId w:val="14"/>
        </w:numPr>
      </w:pPr>
      <w:r w:rsidRPr="0029597A">
        <w:t xml:space="preserve">It also increases the </w:t>
      </w:r>
      <w:r w:rsidRPr="0029597A">
        <w:rPr>
          <w:b/>
          <w:bCs/>
        </w:rPr>
        <w:t>Motivation to Leave Teaching</w:t>
      </w:r>
      <w:r w:rsidRPr="0029597A">
        <w:t>, which negatively impacts self-efficacy and student outcomes. </w:t>
      </w:r>
    </w:p>
    <w:p w14:paraId="6948F46D" w14:textId="604D0386" w:rsidR="0029597A" w:rsidRPr="0029597A" w:rsidRDefault="0029597A" w:rsidP="0029597A">
      <w:pPr>
        <w:jc w:val="left"/>
      </w:pPr>
      <w:r w:rsidRPr="0029597A">
        <w:rPr>
          <w:b/>
          <w:bCs/>
        </w:rPr>
        <w:t xml:space="preserve">Outward Outcomes (Professional Impact on </w:t>
      </w:r>
      <w:r>
        <w:rPr>
          <w:b/>
          <w:bCs/>
        </w:rPr>
        <w:t>Pupils</w:t>
      </w:r>
      <w:r w:rsidRPr="0029597A">
        <w:rPr>
          <w:b/>
          <w:bCs/>
        </w:rPr>
        <w:t>):</w:t>
      </w:r>
      <w:r w:rsidRPr="0029597A">
        <w:t> </w:t>
      </w:r>
    </w:p>
    <w:p w14:paraId="2ED5E8DE" w14:textId="77777777" w:rsidR="0029597A" w:rsidRPr="0029597A" w:rsidRDefault="0029597A" w:rsidP="00936B43">
      <w:pPr>
        <w:pStyle w:val="ListParagraph"/>
        <w:numPr>
          <w:ilvl w:val="0"/>
          <w:numId w:val="15"/>
        </w:numPr>
      </w:pPr>
      <w:r w:rsidRPr="0029597A">
        <w:t xml:space="preserve">Your well-being influences the effectiveness of your instruction and the </w:t>
      </w:r>
      <w:r w:rsidRPr="0029597A">
        <w:rPr>
          <w:b/>
          <w:bCs/>
        </w:rPr>
        <w:t>Quality of Teaching</w:t>
      </w:r>
      <w:r w:rsidRPr="0029597A">
        <w:t>. </w:t>
      </w:r>
    </w:p>
    <w:p w14:paraId="5F535C5F" w14:textId="77777777" w:rsidR="0029597A" w:rsidRPr="0029597A" w:rsidRDefault="0029597A" w:rsidP="00936B43">
      <w:pPr>
        <w:pStyle w:val="ListParagraph"/>
        <w:numPr>
          <w:ilvl w:val="0"/>
          <w:numId w:val="15"/>
        </w:numPr>
      </w:pPr>
      <w:r w:rsidRPr="0029597A">
        <w:rPr>
          <w:b/>
          <w:bCs/>
        </w:rPr>
        <w:t>Classroom Processes:</w:t>
      </w:r>
      <w:r w:rsidRPr="0029597A">
        <w:t xml:space="preserve"> Higher well-being correlates with practices such as providing </w:t>
      </w:r>
      <w:r w:rsidRPr="0029597A">
        <w:rPr>
          <w:b/>
          <w:bCs/>
        </w:rPr>
        <w:t>active support to students</w:t>
      </w:r>
      <w:r w:rsidRPr="0029597A">
        <w:t xml:space="preserve">, effective use of </w:t>
      </w:r>
      <w:r w:rsidRPr="0029597A">
        <w:rPr>
          <w:b/>
          <w:bCs/>
        </w:rPr>
        <w:t>feedback</w:t>
      </w:r>
      <w:r w:rsidRPr="0029597A">
        <w:t xml:space="preserve"> strategies, maintaining a </w:t>
      </w:r>
      <w:r w:rsidRPr="0029597A">
        <w:rPr>
          <w:b/>
          <w:bCs/>
        </w:rPr>
        <w:t>positive classroom social climate</w:t>
      </w:r>
      <w:r w:rsidRPr="0029597A">
        <w:t xml:space="preserve">, and effective </w:t>
      </w:r>
      <w:r w:rsidRPr="0029597A">
        <w:rPr>
          <w:b/>
          <w:bCs/>
        </w:rPr>
        <w:t>teacher co-operation</w:t>
      </w:r>
      <w:r w:rsidRPr="0029597A">
        <w:t>. </w:t>
      </w:r>
    </w:p>
    <w:p w14:paraId="1C0B8C8B" w14:textId="77777777" w:rsidR="0029597A" w:rsidRPr="0029597A" w:rsidRDefault="0029597A" w:rsidP="00936B43">
      <w:pPr>
        <w:pStyle w:val="ListParagraph"/>
        <w:numPr>
          <w:ilvl w:val="0"/>
          <w:numId w:val="15"/>
        </w:numPr>
      </w:pPr>
      <w:r w:rsidRPr="0029597A">
        <w:rPr>
          <w:b/>
          <w:bCs/>
        </w:rPr>
        <w:t>Student Well-being:</w:t>
      </w:r>
      <w:r w:rsidRPr="0029597A">
        <w:t xml:space="preserve"> Teachers who create a supportive classroom environment contribute to higher levels of student well-being, increased motivation, and enhanced student self-efficacy and achievement. Student anxiety is considerably reduced when they feel supported by their teachers. </w:t>
      </w:r>
    </w:p>
    <w:p w14:paraId="3ACA71A6" w14:textId="77777777" w:rsidR="009E634F" w:rsidRDefault="009E634F" w:rsidP="004065F3">
      <w:pPr>
        <w:pStyle w:val="Subheading"/>
      </w:pPr>
    </w:p>
    <w:p w14:paraId="0873198C" w14:textId="51BC2B00" w:rsidR="00D75572" w:rsidRDefault="004065F3" w:rsidP="004065F3">
      <w:pPr>
        <w:pStyle w:val="Subheading"/>
      </w:pPr>
      <w:r>
        <w:t>Deliberate Practice</w:t>
      </w:r>
    </w:p>
    <w:p w14:paraId="1F8DF4AD" w14:textId="6065F191" w:rsidR="004065F3" w:rsidRPr="004065F3" w:rsidRDefault="004065F3" w:rsidP="004065F3">
      <w:pPr>
        <w:rPr>
          <w:b/>
          <w:bCs/>
        </w:rPr>
      </w:pPr>
      <w:r w:rsidRPr="004065F3">
        <w:rPr>
          <w:b/>
          <w:bCs/>
        </w:rPr>
        <w:t>Scenario</w:t>
      </w:r>
    </w:p>
    <w:p w14:paraId="5C5A42B5" w14:textId="397DAF65" w:rsidR="004065F3" w:rsidRDefault="004065F3" w:rsidP="00630E9F">
      <w:pPr>
        <w:jc w:val="left"/>
      </w:pPr>
      <w:r w:rsidRPr="004065F3">
        <w:t xml:space="preserve">Sarah is navigating the challenges of her first year in teaching, where long hours spent planning, marking, and attending meetings often leave little room for personal time. The pressure to perform well blurs the boundaries between work and life, adding to her fatigue. In the classroom, she faces a mix of disruptive behaviour and students needing extra support, which demands constant adaptation and adds to her stress. On top of this, the expectation to meet academic standards and ensure pupil </w:t>
      </w:r>
      <w:r w:rsidRPr="004065F3">
        <w:lastRenderedPageBreak/>
        <w:t>progress weighs heavily, fuelling anxiety and self-doubt. At times, Sarah questions whether she’s making a real impact, and imposter syndrome begins to affect her confidence</w:t>
      </w:r>
    </w:p>
    <w:p w14:paraId="397C0639" w14:textId="77777777" w:rsidR="00D75572" w:rsidRPr="00630E9F" w:rsidRDefault="00D75572" w:rsidP="00630E9F">
      <w:pPr>
        <w:jc w:val="left"/>
      </w:pPr>
    </w:p>
    <w:p w14:paraId="4CB627A3" w14:textId="7D43106D" w:rsidR="004E058D" w:rsidRPr="008509B9" w:rsidRDefault="00EC0016">
      <w:pPr>
        <w:rPr>
          <w:rStyle w:val="Hyperlink"/>
          <w:b/>
          <w:color w:val="0070C0"/>
        </w:rPr>
      </w:pPr>
      <w:hyperlink w:anchor="Content" w:history="1">
        <w:r w:rsidRPr="008509B9">
          <w:rPr>
            <w:rStyle w:val="Hyperlink"/>
            <w:b/>
            <w:color w:val="0070C0"/>
          </w:rPr>
          <w:t>Return to content page</w:t>
        </w:r>
      </w:hyperlink>
    </w:p>
    <w:p w14:paraId="1D60D14E" w14:textId="37E5B6C8" w:rsidR="0018628E" w:rsidRDefault="0018628E">
      <w:pPr>
        <w:rPr>
          <w:rStyle w:val="Hyperlink"/>
          <w:b/>
          <w:bCs/>
        </w:rPr>
      </w:pPr>
    </w:p>
    <w:p w14:paraId="6C7691D4" w14:textId="77777777" w:rsidR="008029B9" w:rsidRPr="00EC0016" w:rsidRDefault="008029B9">
      <w:pPr>
        <w:rPr>
          <w:b/>
          <w:bCs/>
          <w:color w:val="004B62" w:themeColor="text1"/>
          <w:sz w:val="28"/>
          <w:szCs w:val="24"/>
        </w:rPr>
      </w:pPr>
    </w:p>
    <w:sectPr w:rsidR="008029B9" w:rsidRPr="00EC0016" w:rsidSect="001A2B35">
      <w:headerReference w:type="default" r:id="rId29"/>
      <w:footerReference w:type="default" r:id="rId3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B539" w14:textId="77777777" w:rsidR="0004325E" w:rsidRDefault="0004325E" w:rsidP="00403260">
      <w:pPr>
        <w:spacing w:after="0" w:line="240" w:lineRule="auto"/>
      </w:pPr>
      <w:r>
        <w:separator/>
      </w:r>
    </w:p>
  </w:endnote>
  <w:endnote w:type="continuationSeparator" w:id="0">
    <w:p w14:paraId="1692D902" w14:textId="77777777" w:rsidR="0004325E" w:rsidRDefault="0004325E" w:rsidP="00403260">
      <w:pPr>
        <w:spacing w:after="0" w:line="240" w:lineRule="auto"/>
      </w:pPr>
      <w:r>
        <w:continuationSeparator/>
      </w:r>
    </w:p>
  </w:endnote>
  <w:endnote w:type="continuationNotice" w:id="1">
    <w:p w14:paraId="689F4E6E" w14:textId="77777777" w:rsidR="0004325E" w:rsidRDefault="00043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5B30" w14:textId="77777777" w:rsidR="0004325E" w:rsidRDefault="0004325E" w:rsidP="00403260">
      <w:pPr>
        <w:spacing w:after="0" w:line="240" w:lineRule="auto"/>
      </w:pPr>
      <w:r>
        <w:separator/>
      </w:r>
    </w:p>
  </w:footnote>
  <w:footnote w:type="continuationSeparator" w:id="0">
    <w:p w14:paraId="34B17289" w14:textId="77777777" w:rsidR="0004325E" w:rsidRDefault="0004325E" w:rsidP="00403260">
      <w:pPr>
        <w:spacing w:after="0" w:line="240" w:lineRule="auto"/>
      </w:pPr>
      <w:r>
        <w:continuationSeparator/>
      </w:r>
    </w:p>
  </w:footnote>
  <w:footnote w:type="continuationNotice" w:id="1">
    <w:p w14:paraId="583E1BD1" w14:textId="77777777" w:rsidR="0004325E" w:rsidRDefault="00043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3D7B538B" w:rsidR="00EA5F98" w:rsidRPr="002A5A43" w:rsidRDefault="00000000" w:rsidP="00AB2255">
    <w:pPr>
      <w:pBdr>
        <w:left w:val="single" w:sz="12" w:space="11" w:color="007559" w:themeColor="accent1"/>
      </w:pBdr>
      <w:tabs>
        <w:tab w:val="left" w:pos="3620"/>
        <w:tab w:val="left" w:pos="3964"/>
      </w:tabs>
      <w:spacing w:after="0"/>
      <w:jc w:val="left"/>
      <w:rPr>
        <w:rFonts w:eastAsiaTheme="majorEastAsia" w:cs="Tahoma"/>
        <w:color w:val="005742" w:themeColor="accent1" w:themeShade="BF"/>
        <w:szCs w:val="24"/>
      </w:rPr>
    </w:pPr>
    <w:sdt>
      <w:sdtPr>
        <w:rPr>
          <w:rFonts w:eastAsiaTheme="majorEastAsia" w:cs="Tahoma"/>
          <w:color w:val="005742" w:themeColor="accent1" w:themeShade="BF"/>
          <w:szCs w:val="24"/>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Content>
        <w:r w:rsidR="00BE2519" w:rsidRPr="002A5A43">
          <w:rPr>
            <w:rFonts w:eastAsiaTheme="majorEastAsia" w:cs="Tahoma"/>
            <w:color w:val="005742" w:themeColor="accent1" w:themeShade="BF"/>
            <w:szCs w:val="24"/>
          </w:rPr>
          <w:t>ECT Programme</w:t>
        </w:r>
      </w:sdtContent>
    </w:sdt>
    <w:r w:rsidR="00EA2263" w:rsidRPr="002A5A43">
      <w:rPr>
        <w:rFonts w:cs="Tahoma"/>
        <w:szCs w:val="24"/>
      </w:rPr>
      <w:t xml:space="preserve"> </w:t>
    </w:r>
    <w:sdt>
      <w:sdtPr>
        <w:rPr>
          <w:rFonts w:eastAsiaTheme="majorEastAsia" w:cs="Tahoma"/>
          <w:color w:val="005742" w:themeColor="accent1" w:themeShade="BF"/>
          <w:szCs w:val="24"/>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Content>
        <w:r w:rsidR="00A374B6" w:rsidRPr="002A5A43">
          <w:rPr>
            <w:rFonts w:eastAsiaTheme="majorEastAsia" w:cs="Tahoma"/>
            <w:color w:val="005742" w:themeColor="accent1" w:themeShade="BF"/>
            <w:szCs w:val="24"/>
          </w:rPr>
          <w:t>Seminar: Programme Introduction for Year 2 early career teachers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285"/>
    <w:multiLevelType w:val="hybridMultilevel"/>
    <w:tmpl w:val="743E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55EC8"/>
    <w:multiLevelType w:val="hybridMultilevel"/>
    <w:tmpl w:val="F362A054"/>
    <w:lvl w:ilvl="0" w:tplc="D2C677B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81647"/>
    <w:multiLevelType w:val="hybridMultilevel"/>
    <w:tmpl w:val="9C9C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0773D"/>
    <w:multiLevelType w:val="hybridMultilevel"/>
    <w:tmpl w:val="6B6C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A7D74"/>
    <w:multiLevelType w:val="hybridMultilevel"/>
    <w:tmpl w:val="19D2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35716"/>
    <w:multiLevelType w:val="hybridMultilevel"/>
    <w:tmpl w:val="7E947B38"/>
    <w:lvl w:ilvl="0" w:tplc="D2C677B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5609C"/>
    <w:multiLevelType w:val="hybridMultilevel"/>
    <w:tmpl w:val="2DFC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56EA6"/>
    <w:multiLevelType w:val="hybridMultilevel"/>
    <w:tmpl w:val="604824F4"/>
    <w:lvl w:ilvl="0" w:tplc="D2C677B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90F4A"/>
    <w:multiLevelType w:val="hybridMultilevel"/>
    <w:tmpl w:val="DBC82BB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4AF3062C"/>
    <w:multiLevelType w:val="hybridMultilevel"/>
    <w:tmpl w:val="DD26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55C40"/>
    <w:multiLevelType w:val="hybridMultilevel"/>
    <w:tmpl w:val="B55A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60F6C"/>
    <w:multiLevelType w:val="hybridMultilevel"/>
    <w:tmpl w:val="88C2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649A6"/>
    <w:multiLevelType w:val="hybridMultilevel"/>
    <w:tmpl w:val="51EE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A8A4057"/>
    <w:multiLevelType w:val="hybridMultilevel"/>
    <w:tmpl w:val="FFEC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4"/>
  </w:num>
  <w:num w:numId="2" w16cid:durableId="1150057359">
    <w:abstractNumId w:val="15"/>
  </w:num>
  <w:num w:numId="3" w16cid:durableId="811140687">
    <w:abstractNumId w:val="6"/>
  </w:num>
  <w:num w:numId="4" w16cid:durableId="1073115312">
    <w:abstractNumId w:val="9"/>
  </w:num>
  <w:num w:numId="5" w16cid:durableId="1438334146">
    <w:abstractNumId w:val="4"/>
  </w:num>
  <w:num w:numId="6" w16cid:durableId="1715501253">
    <w:abstractNumId w:val="11"/>
  </w:num>
  <w:num w:numId="7" w16cid:durableId="1428840921">
    <w:abstractNumId w:val="0"/>
  </w:num>
  <w:num w:numId="8" w16cid:durableId="1035229044">
    <w:abstractNumId w:val="7"/>
  </w:num>
  <w:num w:numId="9" w16cid:durableId="1700860138">
    <w:abstractNumId w:val="3"/>
  </w:num>
  <w:num w:numId="10" w16cid:durableId="1309090652">
    <w:abstractNumId w:val="10"/>
  </w:num>
  <w:num w:numId="11" w16cid:durableId="928580246">
    <w:abstractNumId w:val="13"/>
  </w:num>
  <w:num w:numId="12" w16cid:durableId="735857452">
    <w:abstractNumId w:val="2"/>
  </w:num>
  <w:num w:numId="13" w16cid:durableId="1309434622">
    <w:abstractNumId w:val="12"/>
  </w:num>
  <w:num w:numId="14" w16cid:durableId="217713144">
    <w:abstractNumId w:val="5"/>
  </w:num>
  <w:num w:numId="15" w16cid:durableId="1320619525">
    <w:abstractNumId w:val="1"/>
  </w:num>
  <w:num w:numId="16" w16cid:durableId="53905585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4012"/>
    <w:rsid w:val="00004453"/>
    <w:rsid w:val="00006348"/>
    <w:rsid w:val="00006F79"/>
    <w:rsid w:val="00007C78"/>
    <w:rsid w:val="000111C9"/>
    <w:rsid w:val="00011CC9"/>
    <w:rsid w:val="00012739"/>
    <w:rsid w:val="00012A24"/>
    <w:rsid w:val="000133E7"/>
    <w:rsid w:val="00013A5C"/>
    <w:rsid w:val="00016FA3"/>
    <w:rsid w:val="00017643"/>
    <w:rsid w:val="0002229D"/>
    <w:rsid w:val="00023400"/>
    <w:rsid w:val="000307CA"/>
    <w:rsid w:val="00033122"/>
    <w:rsid w:val="00033F0C"/>
    <w:rsid w:val="00033F1D"/>
    <w:rsid w:val="00034075"/>
    <w:rsid w:val="0003452B"/>
    <w:rsid w:val="00035735"/>
    <w:rsid w:val="000403A0"/>
    <w:rsid w:val="00040BC2"/>
    <w:rsid w:val="0004325E"/>
    <w:rsid w:val="00043B0D"/>
    <w:rsid w:val="00043F1C"/>
    <w:rsid w:val="000465ED"/>
    <w:rsid w:val="000476EA"/>
    <w:rsid w:val="000522A4"/>
    <w:rsid w:val="0005326C"/>
    <w:rsid w:val="00053A0D"/>
    <w:rsid w:val="00053FD1"/>
    <w:rsid w:val="0005411B"/>
    <w:rsid w:val="00054BA2"/>
    <w:rsid w:val="0005614C"/>
    <w:rsid w:val="0005617A"/>
    <w:rsid w:val="00061D8E"/>
    <w:rsid w:val="000635BA"/>
    <w:rsid w:val="00064CC0"/>
    <w:rsid w:val="00066A5C"/>
    <w:rsid w:val="0007054B"/>
    <w:rsid w:val="00071D76"/>
    <w:rsid w:val="00072032"/>
    <w:rsid w:val="00074277"/>
    <w:rsid w:val="00075332"/>
    <w:rsid w:val="000754A2"/>
    <w:rsid w:val="00075847"/>
    <w:rsid w:val="00075B67"/>
    <w:rsid w:val="00076108"/>
    <w:rsid w:val="00077B32"/>
    <w:rsid w:val="00083691"/>
    <w:rsid w:val="00085CBA"/>
    <w:rsid w:val="00090405"/>
    <w:rsid w:val="000914D6"/>
    <w:rsid w:val="00092A10"/>
    <w:rsid w:val="000948D5"/>
    <w:rsid w:val="000965E1"/>
    <w:rsid w:val="00096F83"/>
    <w:rsid w:val="000A0C12"/>
    <w:rsid w:val="000A1E0B"/>
    <w:rsid w:val="000A2C09"/>
    <w:rsid w:val="000A3F11"/>
    <w:rsid w:val="000A51FC"/>
    <w:rsid w:val="000A54BD"/>
    <w:rsid w:val="000A76A8"/>
    <w:rsid w:val="000B0A25"/>
    <w:rsid w:val="000B1FB5"/>
    <w:rsid w:val="000B4F47"/>
    <w:rsid w:val="000B5388"/>
    <w:rsid w:val="000B5841"/>
    <w:rsid w:val="000B5C7E"/>
    <w:rsid w:val="000B6C06"/>
    <w:rsid w:val="000B6F72"/>
    <w:rsid w:val="000C013D"/>
    <w:rsid w:val="000C35E5"/>
    <w:rsid w:val="000C50E2"/>
    <w:rsid w:val="000C5665"/>
    <w:rsid w:val="000D090B"/>
    <w:rsid w:val="000D3A3B"/>
    <w:rsid w:val="000E27F9"/>
    <w:rsid w:val="000E4875"/>
    <w:rsid w:val="000E5A35"/>
    <w:rsid w:val="000E5E71"/>
    <w:rsid w:val="000F070C"/>
    <w:rsid w:val="000F1090"/>
    <w:rsid w:val="000F1BC0"/>
    <w:rsid w:val="000F1BF3"/>
    <w:rsid w:val="000F1CD7"/>
    <w:rsid w:val="000F247E"/>
    <w:rsid w:val="000F2BDB"/>
    <w:rsid w:val="000F3131"/>
    <w:rsid w:val="000F36AC"/>
    <w:rsid w:val="000F556A"/>
    <w:rsid w:val="000F5803"/>
    <w:rsid w:val="000F5D45"/>
    <w:rsid w:val="00101470"/>
    <w:rsid w:val="00101B09"/>
    <w:rsid w:val="001030C7"/>
    <w:rsid w:val="001035B3"/>
    <w:rsid w:val="00103DD5"/>
    <w:rsid w:val="00104764"/>
    <w:rsid w:val="00107648"/>
    <w:rsid w:val="00110094"/>
    <w:rsid w:val="00110AA4"/>
    <w:rsid w:val="00111F21"/>
    <w:rsid w:val="001126C1"/>
    <w:rsid w:val="001127E5"/>
    <w:rsid w:val="001147D3"/>
    <w:rsid w:val="00115AA4"/>
    <w:rsid w:val="001216BA"/>
    <w:rsid w:val="0012465D"/>
    <w:rsid w:val="00125350"/>
    <w:rsid w:val="00125C3A"/>
    <w:rsid w:val="00126380"/>
    <w:rsid w:val="0012658E"/>
    <w:rsid w:val="00126C93"/>
    <w:rsid w:val="00127F76"/>
    <w:rsid w:val="00130271"/>
    <w:rsid w:val="00132DE7"/>
    <w:rsid w:val="00133001"/>
    <w:rsid w:val="001331E2"/>
    <w:rsid w:val="001334C8"/>
    <w:rsid w:val="001355FE"/>
    <w:rsid w:val="00136AD8"/>
    <w:rsid w:val="0013753F"/>
    <w:rsid w:val="00140751"/>
    <w:rsid w:val="00140DDC"/>
    <w:rsid w:val="0014137D"/>
    <w:rsid w:val="00141E19"/>
    <w:rsid w:val="00142513"/>
    <w:rsid w:val="001426D6"/>
    <w:rsid w:val="00143697"/>
    <w:rsid w:val="0014509D"/>
    <w:rsid w:val="00146A65"/>
    <w:rsid w:val="00150763"/>
    <w:rsid w:val="001508E4"/>
    <w:rsid w:val="001515DF"/>
    <w:rsid w:val="001522A7"/>
    <w:rsid w:val="00152C99"/>
    <w:rsid w:val="00152CFF"/>
    <w:rsid w:val="001534B8"/>
    <w:rsid w:val="0015404F"/>
    <w:rsid w:val="00155940"/>
    <w:rsid w:val="00156935"/>
    <w:rsid w:val="00163979"/>
    <w:rsid w:val="001659FF"/>
    <w:rsid w:val="0016692D"/>
    <w:rsid w:val="00166A36"/>
    <w:rsid w:val="001678C4"/>
    <w:rsid w:val="001706A7"/>
    <w:rsid w:val="00173B28"/>
    <w:rsid w:val="00175022"/>
    <w:rsid w:val="00176B95"/>
    <w:rsid w:val="001811CB"/>
    <w:rsid w:val="00182229"/>
    <w:rsid w:val="00183B58"/>
    <w:rsid w:val="0018542D"/>
    <w:rsid w:val="00185E15"/>
    <w:rsid w:val="00185E4E"/>
    <w:rsid w:val="0018628E"/>
    <w:rsid w:val="001866E1"/>
    <w:rsid w:val="00187EE0"/>
    <w:rsid w:val="00190E05"/>
    <w:rsid w:val="00191074"/>
    <w:rsid w:val="001912D9"/>
    <w:rsid w:val="0019396D"/>
    <w:rsid w:val="00194ADF"/>
    <w:rsid w:val="001958B6"/>
    <w:rsid w:val="00196EFE"/>
    <w:rsid w:val="001A0003"/>
    <w:rsid w:val="001A0B97"/>
    <w:rsid w:val="001A1C53"/>
    <w:rsid w:val="001A2B35"/>
    <w:rsid w:val="001A35C2"/>
    <w:rsid w:val="001B1707"/>
    <w:rsid w:val="001B2A11"/>
    <w:rsid w:val="001B567E"/>
    <w:rsid w:val="001B5C39"/>
    <w:rsid w:val="001B5C46"/>
    <w:rsid w:val="001B672C"/>
    <w:rsid w:val="001C0297"/>
    <w:rsid w:val="001C394D"/>
    <w:rsid w:val="001C5F7D"/>
    <w:rsid w:val="001D01BA"/>
    <w:rsid w:val="001D1793"/>
    <w:rsid w:val="001D35E6"/>
    <w:rsid w:val="001D3BFB"/>
    <w:rsid w:val="001D5563"/>
    <w:rsid w:val="001D569D"/>
    <w:rsid w:val="001D5AA4"/>
    <w:rsid w:val="001D64AB"/>
    <w:rsid w:val="001D7FEF"/>
    <w:rsid w:val="001E2AD2"/>
    <w:rsid w:val="001E363C"/>
    <w:rsid w:val="001E4A0B"/>
    <w:rsid w:val="001F202F"/>
    <w:rsid w:val="001F2BF0"/>
    <w:rsid w:val="001F352D"/>
    <w:rsid w:val="001F45B1"/>
    <w:rsid w:val="001F49E0"/>
    <w:rsid w:val="001F6A91"/>
    <w:rsid w:val="001F73C5"/>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D2"/>
    <w:rsid w:val="00212687"/>
    <w:rsid w:val="00214E34"/>
    <w:rsid w:val="002152E5"/>
    <w:rsid w:val="0022011F"/>
    <w:rsid w:val="00220687"/>
    <w:rsid w:val="002244F2"/>
    <w:rsid w:val="00226C6A"/>
    <w:rsid w:val="00226D80"/>
    <w:rsid w:val="00230038"/>
    <w:rsid w:val="00231690"/>
    <w:rsid w:val="0023176F"/>
    <w:rsid w:val="00232394"/>
    <w:rsid w:val="00232B64"/>
    <w:rsid w:val="00234112"/>
    <w:rsid w:val="00234C2D"/>
    <w:rsid w:val="00234EA8"/>
    <w:rsid w:val="00235C6D"/>
    <w:rsid w:val="00242964"/>
    <w:rsid w:val="0024483B"/>
    <w:rsid w:val="00244ADE"/>
    <w:rsid w:val="002450B0"/>
    <w:rsid w:val="00245119"/>
    <w:rsid w:val="002461B8"/>
    <w:rsid w:val="00247F24"/>
    <w:rsid w:val="00251A92"/>
    <w:rsid w:val="00253AF2"/>
    <w:rsid w:val="0025449C"/>
    <w:rsid w:val="00254E6D"/>
    <w:rsid w:val="0025548E"/>
    <w:rsid w:val="00257416"/>
    <w:rsid w:val="002600FA"/>
    <w:rsid w:val="00261963"/>
    <w:rsid w:val="00261A10"/>
    <w:rsid w:val="002639E7"/>
    <w:rsid w:val="002643EF"/>
    <w:rsid w:val="0026485D"/>
    <w:rsid w:val="00265956"/>
    <w:rsid w:val="00273B5C"/>
    <w:rsid w:val="0027491B"/>
    <w:rsid w:val="00281124"/>
    <w:rsid w:val="002811FB"/>
    <w:rsid w:val="00282500"/>
    <w:rsid w:val="0028265B"/>
    <w:rsid w:val="0028531D"/>
    <w:rsid w:val="00285655"/>
    <w:rsid w:val="00285A59"/>
    <w:rsid w:val="00285ED7"/>
    <w:rsid w:val="002916D4"/>
    <w:rsid w:val="00291D63"/>
    <w:rsid w:val="002928B6"/>
    <w:rsid w:val="002930ED"/>
    <w:rsid w:val="002935E6"/>
    <w:rsid w:val="00293868"/>
    <w:rsid w:val="002953F4"/>
    <w:rsid w:val="0029597A"/>
    <w:rsid w:val="00297ABA"/>
    <w:rsid w:val="002A2315"/>
    <w:rsid w:val="002A431B"/>
    <w:rsid w:val="002A47AC"/>
    <w:rsid w:val="002A4863"/>
    <w:rsid w:val="002A58A7"/>
    <w:rsid w:val="002A5A43"/>
    <w:rsid w:val="002A70D6"/>
    <w:rsid w:val="002A79C1"/>
    <w:rsid w:val="002A7B0F"/>
    <w:rsid w:val="002B22EF"/>
    <w:rsid w:val="002B3E1C"/>
    <w:rsid w:val="002C0F21"/>
    <w:rsid w:val="002C3925"/>
    <w:rsid w:val="002C43ED"/>
    <w:rsid w:val="002D2B9E"/>
    <w:rsid w:val="002D563C"/>
    <w:rsid w:val="002D78B0"/>
    <w:rsid w:val="002E0469"/>
    <w:rsid w:val="002E1410"/>
    <w:rsid w:val="002E3DDE"/>
    <w:rsid w:val="002F0348"/>
    <w:rsid w:val="002F08A7"/>
    <w:rsid w:val="002F335B"/>
    <w:rsid w:val="002F483D"/>
    <w:rsid w:val="002F620D"/>
    <w:rsid w:val="002F6CA1"/>
    <w:rsid w:val="002F71D7"/>
    <w:rsid w:val="00300F86"/>
    <w:rsid w:val="003025B9"/>
    <w:rsid w:val="003026FC"/>
    <w:rsid w:val="00303EDC"/>
    <w:rsid w:val="003048EA"/>
    <w:rsid w:val="00305DC8"/>
    <w:rsid w:val="00307A4B"/>
    <w:rsid w:val="00307B2B"/>
    <w:rsid w:val="00310457"/>
    <w:rsid w:val="00313720"/>
    <w:rsid w:val="00314592"/>
    <w:rsid w:val="0031487C"/>
    <w:rsid w:val="0031531E"/>
    <w:rsid w:val="00317147"/>
    <w:rsid w:val="0032035A"/>
    <w:rsid w:val="00321619"/>
    <w:rsid w:val="00321707"/>
    <w:rsid w:val="003225C0"/>
    <w:rsid w:val="00322823"/>
    <w:rsid w:val="00322B3C"/>
    <w:rsid w:val="00323821"/>
    <w:rsid w:val="0032646A"/>
    <w:rsid w:val="003265B7"/>
    <w:rsid w:val="003275DE"/>
    <w:rsid w:val="0033002E"/>
    <w:rsid w:val="00331D20"/>
    <w:rsid w:val="00331FA6"/>
    <w:rsid w:val="003337C2"/>
    <w:rsid w:val="00335182"/>
    <w:rsid w:val="00336ACD"/>
    <w:rsid w:val="00336DA1"/>
    <w:rsid w:val="00336EB0"/>
    <w:rsid w:val="0034073C"/>
    <w:rsid w:val="0034076E"/>
    <w:rsid w:val="0034215F"/>
    <w:rsid w:val="003479C1"/>
    <w:rsid w:val="00350392"/>
    <w:rsid w:val="003508F2"/>
    <w:rsid w:val="00350CA6"/>
    <w:rsid w:val="00351075"/>
    <w:rsid w:val="003510FE"/>
    <w:rsid w:val="00354FF4"/>
    <w:rsid w:val="003553EC"/>
    <w:rsid w:val="00356748"/>
    <w:rsid w:val="00357A13"/>
    <w:rsid w:val="003608C4"/>
    <w:rsid w:val="00361B9D"/>
    <w:rsid w:val="0036770D"/>
    <w:rsid w:val="0037037D"/>
    <w:rsid w:val="00372C7F"/>
    <w:rsid w:val="00373819"/>
    <w:rsid w:val="0037434A"/>
    <w:rsid w:val="00375139"/>
    <w:rsid w:val="0037587E"/>
    <w:rsid w:val="00377889"/>
    <w:rsid w:val="00377AF3"/>
    <w:rsid w:val="00380BD3"/>
    <w:rsid w:val="00381EFA"/>
    <w:rsid w:val="00384801"/>
    <w:rsid w:val="00385321"/>
    <w:rsid w:val="00387333"/>
    <w:rsid w:val="00387E43"/>
    <w:rsid w:val="0039046C"/>
    <w:rsid w:val="003909F2"/>
    <w:rsid w:val="003920C2"/>
    <w:rsid w:val="00392513"/>
    <w:rsid w:val="003940C1"/>
    <w:rsid w:val="0039474B"/>
    <w:rsid w:val="00395006"/>
    <w:rsid w:val="003965E1"/>
    <w:rsid w:val="0039774D"/>
    <w:rsid w:val="003A060F"/>
    <w:rsid w:val="003A06F2"/>
    <w:rsid w:val="003A344D"/>
    <w:rsid w:val="003A3C20"/>
    <w:rsid w:val="003A466C"/>
    <w:rsid w:val="003A5179"/>
    <w:rsid w:val="003A78BB"/>
    <w:rsid w:val="003B006E"/>
    <w:rsid w:val="003B0C34"/>
    <w:rsid w:val="003B1408"/>
    <w:rsid w:val="003B3403"/>
    <w:rsid w:val="003B5370"/>
    <w:rsid w:val="003B7C39"/>
    <w:rsid w:val="003C1396"/>
    <w:rsid w:val="003C39E5"/>
    <w:rsid w:val="003C72EE"/>
    <w:rsid w:val="003C7D91"/>
    <w:rsid w:val="003D14BB"/>
    <w:rsid w:val="003D2E0E"/>
    <w:rsid w:val="003D48C8"/>
    <w:rsid w:val="003D5001"/>
    <w:rsid w:val="003D646B"/>
    <w:rsid w:val="003D6C9D"/>
    <w:rsid w:val="003D6D6C"/>
    <w:rsid w:val="003D7606"/>
    <w:rsid w:val="003E039E"/>
    <w:rsid w:val="003E24B7"/>
    <w:rsid w:val="003E3F62"/>
    <w:rsid w:val="003E55FD"/>
    <w:rsid w:val="003E5604"/>
    <w:rsid w:val="003E62FC"/>
    <w:rsid w:val="003E6510"/>
    <w:rsid w:val="003E66CE"/>
    <w:rsid w:val="003E6D66"/>
    <w:rsid w:val="003E71C5"/>
    <w:rsid w:val="003E77EE"/>
    <w:rsid w:val="003F4E3F"/>
    <w:rsid w:val="003F512F"/>
    <w:rsid w:val="003F5190"/>
    <w:rsid w:val="003F5596"/>
    <w:rsid w:val="003F5CF5"/>
    <w:rsid w:val="003F78AF"/>
    <w:rsid w:val="003F7B3A"/>
    <w:rsid w:val="004005C4"/>
    <w:rsid w:val="00400F84"/>
    <w:rsid w:val="00401091"/>
    <w:rsid w:val="00401A7E"/>
    <w:rsid w:val="004024E8"/>
    <w:rsid w:val="00403260"/>
    <w:rsid w:val="00403D8F"/>
    <w:rsid w:val="00404DAC"/>
    <w:rsid w:val="004065F3"/>
    <w:rsid w:val="0041064A"/>
    <w:rsid w:val="004117AB"/>
    <w:rsid w:val="00411C0C"/>
    <w:rsid w:val="00415903"/>
    <w:rsid w:val="00416977"/>
    <w:rsid w:val="00416B6B"/>
    <w:rsid w:val="004173F7"/>
    <w:rsid w:val="004204AE"/>
    <w:rsid w:val="00421EE4"/>
    <w:rsid w:val="00425DB8"/>
    <w:rsid w:val="00427995"/>
    <w:rsid w:val="00433614"/>
    <w:rsid w:val="00434DDD"/>
    <w:rsid w:val="004408D9"/>
    <w:rsid w:val="00443519"/>
    <w:rsid w:val="004457C8"/>
    <w:rsid w:val="00445FCE"/>
    <w:rsid w:val="00446650"/>
    <w:rsid w:val="00450093"/>
    <w:rsid w:val="004521D0"/>
    <w:rsid w:val="0045258D"/>
    <w:rsid w:val="00453425"/>
    <w:rsid w:val="004536B3"/>
    <w:rsid w:val="004546D0"/>
    <w:rsid w:val="00454F20"/>
    <w:rsid w:val="00455350"/>
    <w:rsid w:val="00456DDB"/>
    <w:rsid w:val="0046035C"/>
    <w:rsid w:val="00460E39"/>
    <w:rsid w:val="0046124B"/>
    <w:rsid w:val="004612D0"/>
    <w:rsid w:val="004617A5"/>
    <w:rsid w:val="0046281C"/>
    <w:rsid w:val="00462BCB"/>
    <w:rsid w:val="00464873"/>
    <w:rsid w:val="00464A85"/>
    <w:rsid w:val="00465144"/>
    <w:rsid w:val="00465640"/>
    <w:rsid w:val="004673BF"/>
    <w:rsid w:val="00470FE6"/>
    <w:rsid w:val="00474481"/>
    <w:rsid w:val="00474697"/>
    <w:rsid w:val="004765BF"/>
    <w:rsid w:val="00476C7C"/>
    <w:rsid w:val="00480204"/>
    <w:rsid w:val="00481977"/>
    <w:rsid w:val="00483261"/>
    <w:rsid w:val="00484C71"/>
    <w:rsid w:val="004850E4"/>
    <w:rsid w:val="00485D1F"/>
    <w:rsid w:val="0048659D"/>
    <w:rsid w:val="00486CBC"/>
    <w:rsid w:val="004911C9"/>
    <w:rsid w:val="0049129B"/>
    <w:rsid w:val="00491E33"/>
    <w:rsid w:val="004943C9"/>
    <w:rsid w:val="00496B93"/>
    <w:rsid w:val="00497B06"/>
    <w:rsid w:val="004A03E4"/>
    <w:rsid w:val="004A0535"/>
    <w:rsid w:val="004A10BD"/>
    <w:rsid w:val="004A4BF7"/>
    <w:rsid w:val="004A6CB1"/>
    <w:rsid w:val="004B0D7B"/>
    <w:rsid w:val="004B1C2B"/>
    <w:rsid w:val="004B314B"/>
    <w:rsid w:val="004B3FE6"/>
    <w:rsid w:val="004B4970"/>
    <w:rsid w:val="004B6B21"/>
    <w:rsid w:val="004B6D9D"/>
    <w:rsid w:val="004C015C"/>
    <w:rsid w:val="004C03D3"/>
    <w:rsid w:val="004C0712"/>
    <w:rsid w:val="004C3F26"/>
    <w:rsid w:val="004C5CAB"/>
    <w:rsid w:val="004C7731"/>
    <w:rsid w:val="004D1B7A"/>
    <w:rsid w:val="004D3AC9"/>
    <w:rsid w:val="004D4760"/>
    <w:rsid w:val="004D5A17"/>
    <w:rsid w:val="004D76DA"/>
    <w:rsid w:val="004E058D"/>
    <w:rsid w:val="004E2235"/>
    <w:rsid w:val="004E44F5"/>
    <w:rsid w:val="004E5113"/>
    <w:rsid w:val="004F01F8"/>
    <w:rsid w:val="004F0F0C"/>
    <w:rsid w:val="004F3404"/>
    <w:rsid w:val="004F36E9"/>
    <w:rsid w:val="004F36F1"/>
    <w:rsid w:val="004F3A4F"/>
    <w:rsid w:val="004F3D1E"/>
    <w:rsid w:val="004F4778"/>
    <w:rsid w:val="004F65FC"/>
    <w:rsid w:val="00500CB3"/>
    <w:rsid w:val="0050233F"/>
    <w:rsid w:val="0050293F"/>
    <w:rsid w:val="0050380F"/>
    <w:rsid w:val="00505186"/>
    <w:rsid w:val="0051099B"/>
    <w:rsid w:val="005161CD"/>
    <w:rsid w:val="005172D7"/>
    <w:rsid w:val="005173E1"/>
    <w:rsid w:val="00517686"/>
    <w:rsid w:val="005202C6"/>
    <w:rsid w:val="005207BE"/>
    <w:rsid w:val="00520A49"/>
    <w:rsid w:val="0052324F"/>
    <w:rsid w:val="00524914"/>
    <w:rsid w:val="00527194"/>
    <w:rsid w:val="00527442"/>
    <w:rsid w:val="00530806"/>
    <w:rsid w:val="00530DE1"/>
    <w:rsid w:val="00531048"/>
    <w:rsid w:val="00532016"/>
    <w:rsid w:val="0053297C"/>
    <w:rsid w:val="005332B0"/>
    <w:rsid w:val="00533413"/>
    <w:rsid w:val="0053421C"/>
    <w:rsid w:val="005342F0"/>
    <w:rsid w:val="0053620E"/>
    <w:rsid w:val="00540EE9"/>
    <w:rsid w:val="00541E41"/>
    <w:rsid w:val="00542519"/>
    <w:rsid w:val="00542575"/>
    <w:rsid w:val="00543926"/>
    <w:rsid w:val="00545DB3"/>
    <w:rsid w:val="005508DC"/>
    <w:rsid w:val="00550E80"/>
    <w:rsid w:val="00551CF0"/>
    <w:rsid w:val="005522E8"/>
    <w:rsid w:val="00552C89"/>
    <w:rsid w:val="00553E2D"/>
    <w:rsid w:val="005546E3"/>
    <w:rsid w:val="005602B1"/>
    <w:rsid w:val="00561CCC"/>
    <w:rsid w:val="005665B7"/>
    <w:rsid w:val="0057195D"/>
    <w:rsid w:val="00574552"/>
    <w:rsid w:val="00574FED"/>
    <w:rsid w:val="005766A7"/>
    <w:rsid w:val="00577B33"/>
    <w:rsid w:val="00581629"/>
    <w:rsid w:val="005818EB"/>
    <w:rsid w:val="005820EC"/>
    <w:rsid w:val="00583E13"/>
    <w:rsid w:val="00583E69"/>
    <w:rsid w:val="00584E65"/>
    <w:rsid w:val="00586ED0"/>
    <w:rsid w:val="00587B0D"/>
    <w:rsid w:val="00590DC8"/>
    <w:rsid w:val="005921F1"/>
    <w:rsid w:val="005938BF"/>
    <w:rsid w:val="00594ECE"/>
    <w:rsid w:val="005956F8"/>
    <w:rsid w:val="00595E20"/>
    <w:rsid w:val="005972FE"/>
    <w:rsid w:val="005975C3"/>
    <w:rsid w:val="005A10A9"/>
    <w:rsid w:val="005A1605"/>
    <w:rsid w:val="005A1A9C"/>
    <w:rsid w:val="005A2469"/>
    <w:rsid w:val="005A2F24"/>
    <w:rsid w:val="005A44C1"/>
    <w:rsid w:val="005A5F87"/>
    <w:rsid w:val="005A74DA"/>
    <w:rsid w:val="005A74ED"/>
    <w:rsid w:val="005A7C6D"/>
    <w:rsid w:val="005B1E65"/>
    <w:rsid w:val="005B3701"/>
    <w:rsid w:val="005B3E0E"/>
    <w:rsid w:val="005C0A27"/>
    <w:rsid w:val="005C0A2E"/>
    <w:rsid w:val="005C2CB6"/>
    <w:rsid w:val="005C4CAA"/>
    <w:rsid w:val="005C5E45"/>
    <w:rsid w:val="005C6EAB"/>
    <w:rsid w:val="005D1292"/>
    <w:rsid w:val="005D397B"/>
    <w:rsid w:val="005D492C"/>
    <w:rsid w:val="005D5C00"/>
    <w:rsid w:val="005E031F"/>
    <w:rsid w:val="005E075A"/>
    <w:rsid w:val="005E195A"/>
    <w:rsid w:val="005E217A"/>
    <w:rsid w:val="005E2A8C"/>
    <w:rsid w:val="005E38EA"/>
    <w:rsid w:val="005E5695"/>
    <w:rsid w:val="005E594A"/>
    <w:rsid w:val="005E5DE1"/>
    <w:rsid w:val="005E6533"/>
    <w:rsid w:val="005E67B6"/>
    <w:rsid w:val="005E690F"/>
    <w:rsid w:val="005E741E"/>
    <w:rsid w:val="005E7630"/>
    <w:rsid w:val="005F03D0"/>
    <w:rsid w:val="005F03DC"/>
    <w:rsid w:val="005F49A8"/>
    <w:rsid w:val="005F49AD"/>
    <w:rsid w:val="005F65EB"/>
    <w:rsid w:val="005F7C52"/>
    <w:rsid w:val="00600BDF"/>
    <w:rsid w:val="006016F6"/>
    <w:rsid w:val="00603C75"/>
    <w:rsid w:val="00604EA1"/>
    <w:rsid w:val="00606037"/>
    <w:rsid w:val="006068D9"/>
    <w:rsid w:val="006071DE"/>
    <w:rsid w:val="00607B1D"/>
    <w:rsid w:val="0061084D"/>
    <w:rsid w:val="0061087F"/>
    <w:rsid w:val="006123F7"/>
    <w:rsid w:val="00612A3C"/>
    <w:rsid w:val="00613BE1"/>
    <w:rsid w:val="006145A1"/>
    <w:rsid w:val="00615140"/>
    <w:rsid w:val="00615D97"/>
    <w:rsid w:val="00615F7B"/>
    <w:rsid w:val="006173EA"/>
    <w:rsid w:val="006217CC"/>
    <w:rsid w:val="00621F29"/>
    <w:rsid w:val="00622DC0"/>
    <w:rsid w:val="00623032"/>
    <w:rsid w:val="00623DE0"/>
    <w:rsid w:val="00626510"/>
    <w:rsid w:val="00627750"/>
    <w:rsid w:val="00627B24"/>
    <w:rsid w:val="00630526"/>
    <w:rsid w:val="00630AD1"/>
    <w:rsid w:val="00630E9F"/>
    <w:rsid w:val="00631C05"/>
    <w:rsid w:val="00632783"/>
    <w:rsid w:val="00633925"/>
    <w:rsid w:val="006341CE"/>
    <w:rsid w:val="00634CAB"/>
    <w:rsid w:val="0063517B"/>
    <w:rsid w:val="00637EFC"/>
    <w:rsid w:val="00640524"/>
    <w:rsid w:val="00641503"/>
    <w:rsid w:val="006423B9"/>
    <w:rsid w:val="00645502"/>
    <w:rsid w:val="00645741"/>
    <w:rsid w:val="0065050F"/>
    <w:rsid w:val="0065052C"/>
    <w:rsid w:val="00654DE2"/>
    <w:rsid w:val="006550E0"/>
    <w:rsid w:val="00656604"/>
    <w:rsid w:val="006569A7"/>
    <w:rsid w:val="0065738D"/>
    <w:rsid w:val="00660639"/>
    <w:rsid w:val="006626E0"/>
    <w:rsid w:val="0066325E"/>
    <w:rsid w:val="006635FF"/>
    <w:rsid w:val="00663770"/>
    <w:rsid w:val="00664C0E"/>
    <w:rsid w:val="00665059"/>
    <w:rsid w:val="00666B07"/>
    <w:rsid w:val="00666D50"/>
    <w:rsid w:val="0066734E"/>
    <w:rsid w:val="00667EA1"/>
    <w:rsid w:val="006709DD"/>
    <w:rsid w:val="006713A3"/>
    <w:rsid w:val="00671D27"/>
    <w:rsid w:val="006732B2"/>
    <w:rsid w:val="00673D99"/>
    <w:rsid w:val="006747F7"/>
    <w:rsid w:val="00674C6C"/>
    <w:rsid w:val="00674F41"/>
    <w:rsid w:val="00677615"/>
    <w:rsid w:val="006777D9"/>
    <w:rsid w:val="006801D8"/>
    <w:rsid w:val="006807A6"/>
    <w:rsid w:val="006855E5"/>
    <w:rsid w:val="00685871"/>
    <w:rsid w:val="00685F8D"/>
    <w:rsid w:val="00692D19"/>
    <w:rsid w:val="00693AC4"/>
    <w:rsid w:val="00693B1E"/>
    <w:rsid w:val="00694688"/>
    <w:rsid w:val="00696692"/>
    <w:rsid w:val="00697698"/>
    <w:rsid w:val="00697764"/>
    <w:rsid w:val="006A0544"/>
    <w:rsid w:val="006A1250"/>
    <w:rsid w:val="006A294D"/>
    <w:rsid w:val="006A2BAE"/>
    <w:rsid w:val="006A3BEB"/>
    <w:rsid w:val="006A512A"/>
    <w:rsid w:val="006A7057"/>
    <w:rsid w:val="006A72FE"/>
    <w:rsid w:val="006A74B5"/>
    <w:rsid w:val="006A756E"/>
    <w:rsid w:val="006B1240"/>
    <w:rsid w:val="006B2CE6"/>
    <w:rsid w:val="006B48C2"/>
    <w:rsid w:val="006B55B9"/>
    <w:rsid w:val="006B7E36"/>
    <w:rsid w:val="006C0240"/>
    <w:rsid w:val="006C0617"/>
    <w:rsid w:val="006C2258"/>
    <w:rsid w:val="006C40A4"/>
    <w:rsid w:val="006C4E6D"/>
    <w:rsid w:val="006C6BB9"/>
    <w:rsid w:val="006D3CE1"/>
    <w:rsid w:val="006D560B"/>
    <w:rsid w:val="006D6946"/>
    <w:rsid w:val="006D7A20"/>
    <w:rsid w:val="006D7C7A"/>
    <w:rsid w:val="006E08CA"/>
    <w:rsid w:val="006E158E"/>
    <w:rsid w:val="006E19EF"/>
    <w:rsid w:val="006E28FB"/>
    <w:rsid w:val="006E2D1A"/>
    <w:rsid w:val="006E3022"/>
    <w:rsid w:val="006E3471"/>
    <w:rsid w:val="006E5544"/>
    <w:rsid w:val="006F019F"/>
    <w:rsid w:val="006F0864"/>
    <w:rsid w:val="006F1369"/>
    <w:rsid w:val="006F317F"/>
    <w:rsid w:val="006F3912"/>
    <w:rsid w:val="006F3A35"/>
    <w:rsid w:val="006F3BFD"/>
    <w:rsid w:val="006F47B8"/>
    <w:rsid w:val="006F79F7"/>
    <w:rsid w:val="007007CE"/>
    <w:rsid w:val="00700C4D"/>
    <w:rsid w:val="007016A9"/>
    <w:rsid w:val="007025CB"/>
    <w:rsid w:val="007037B3"/>
    <w:rsid w:val="00703C99"/>
    <w:rsid w:val="00705BB4"/>
    <w:rsid w:val="00706DB4"/>
    <w:rsid w:val="007115FB"/>
    <w:rsid w:val="00712CF8"/>
    <w:rsid w:val="00713E0B"/>
    <w:rsid w:val="00715046"/>
    <w:rsid w:val="00715DCC"/>
    <w:rsid w:val="00717346"/>
    <w:rsid w:val="00723CB7"/>
    <w:rsid w:val="007242D9"/>
    <w:rsid w:val="00724A9C"/>
    <w:rsid w:val="00725AAA"/>
    <w:rsid w:val="00726E4B"/>
    <w:rsid w:val="00727106"/>
    <w:rsid w:val="00731EE2"/>
    <w:rsid w:val="0073228E"/>
    <w:rsid w:val="00732850"/>
    <w:rsid w:val="00733471"/>
    <w:rsid w:val="00733B85"/>
    <w:rsid w:val="007344B3"/>
    <w:rsid w:val="00734690"/>
    <w:rsid w:val="00734EE4"/>
    <w:rsid w:val="00735F7C"/>
    <w:rsid w:val="00735F8F"/>
    <w:rsid w:val="00741374"/>
    <w:rsid w:val="00741B5A"/>
    <w:rsid w:val="00741CD4"/>
    <w:rsid w:val="00742F56"/>
    <w:rsid w:val="00743B72"/>
    <w:rsid w:val="0074417C"/>
    <w:rsid w:val="00745D85"/>
    <w:rsid w:val="00746E54"/>
    <w:rsid w:val="0075056D"/>
    <w:rsid w:val="00751788"/>
    <w:rsid w:val="0075296A"/>
    <w:rsid w:val="00752A91"/>
    <w:rsid w:val="00753379"/>
    <w:rsid w:val="00753793"/>
    <w:rsid w:val="00754962"/>
    <w:rsid w:val="00756E2D"/>
    <w:rsid w:val="00757EF9"/>
    <w:rsid w:val="00761D66"/>
    <w:rsid w:val="0076724A"/>
    <w:rsid w:val="007678F9"/>
    <w:rsid w:val="00767BF4"/>
    <w:rsid w:val="007702E4"/>
    <w:rsid w:val="007707BE"/>
    <w:rsid w:val="00771324"/>
    <w:rsid w:val="0077354A"/>
    <w:rsid w:val="007758DF"/>
    <w:rsid w:val="00776269"/>
    <w:rsid w:val="007816F8"/>
    <w:rsid w:val="00782F1E"/>
    <w:rsid w:val="00783C12"/>
    <w:rsid w:val="00784442"/>
    <w:rsid w:val="00785516"/>
    <w:rsid w:val="00785613"/>
    <w:rsid w:val="00785F9D"/>
    <w:rsid w:val="007860AD"/>
    <w:rsid w:val="007905FF"/>
    <w:rsid w:val="007913F8"/>
    <w:rsid w:val="007918FD"/>
    <w:rsid w:val="00791A33"/>
    <w:rsid w:val="00792A5F"/>
    <w:rsid w:val="00792DD6"/>
    <w:rsid w:val="007945B3"/>
    <w:rsid w:val="00795610"/>
    <w:rsid w:val="007975AF"/>
    <w:rsid w:val="00797D35"/>
    <w:rsid w:val="00797E29"/>
    <w:rsid w:val="007A0F38"/>
    <w:rsid w:val="007A218F"/>
    <w:rsid w:val="007A2BD2"/>
    <w:rsid w:val="007A37EE"/>
    <w:rsid w:val="007A3DAE"/>
    <w:rsid w:val="007A3E23"/>
    <w:rsid w:val="007A3FB5"/>
    <w:rsid w:val="007A5E0F"/>
    <w:rsid w:val="007A6253"/>
    <w:rsid w:val="007A64D8"/>
    <w:rsid w:val="007A6B3C"/>
    <w:rsid w:val="007B0A85"/>
    <w:rsid w:val="007B2864"/>
    <w:rsid w:val="007B2928"/>
    <w:rsid w:val="007B7F09"/>
    <w:rsid w:val="007C587C"/>
    <w:rsid w:val="007C698A"/>
    <w:rsid w:val="007C72DC"/>
    <w:rsid w:val="007C7AB9"/>
    <w:rsid w:val="007C7CF5"/>
    <w:rsid w:val="007D0887"/>
    <w:rsid w:val="007D0B77"/>
    <w:rsid w:val="007D0C44"/>
    <w:rsid w:val="007D25BE"/>
    <w:rsid w:val="007D333C"/>
    <w:rsid w:val="007D59C1"/>
    <w:rsid w:val="007D5FF7"/>
    <w:rsid w:val="007D6B8D"/>
    <w:rsid w:val="007D7DE2"/>
    <w:rsid w:val="007E024B"/>
    <w:rsid w:val="007E17F7"/>
    <w:rsid w:val="007E1E38"/>
    <w:rsid w:val="007E2E66"/>
    <w:rsid w:val="007E366C"/>
    <w:rsid w:val="007E3E1A"/>
    <w:rsid w:val="007E4974"/>
    <w:rsid w:val="007E6DCC"/>
    <w:rsid w:val="007F13E9"/>
    <w:rsid w:val="007F3C72"/>
    <w:rsid w:val="007F4FC9"/>
    <w:rsid w:val="007F54AE"/>
    <w:rsid w:val="007F68D2"/>
    <w:rsid w:val="007F6E1E"/>
    <w:rsid w:val="007F762D"/>
    <w:rsid w:val="00800DFC"/>
    <w:rsid w:val="00801E0A"/>
    <w:rsid w:val="0080236A"/>
    <w:rsid w:val="008029B9"/>
    <w:rsid w:val="0080312C"/>
    <w:rsid w:val="008032A8"/>
    <w:rsid w:val="008042D2"/>
    <w:rsid w:val="00804357"/>
    <w:rsid w:val="00805DF1"/>
    <w:rsid w:val="00806738"/>
    <w:rsid w:val="0080773D"/>
    <w:rsid w:val="00812AF3"/>
    <w:rsid w:val="00812B71"/>
    <w:rsid w:val="008151F4"/>
    <w:rsid w:val="00817D05"/>
    <w:rsid w:val="00817E3A"/>
    <w:rsid w:val="0082109C"/>
    <w:rsid w:val="0082134D"/>
    <w:rsid w:val="0082200B"/>
    <w:rsid w:val="008220F0"/>
    <w:rsid w:val="008228AC"/>
    <w:rsid w:val="00822B83"/>
    <w:rsid w:val="00825225"/>
    <w:rsid w:val="008277CB"/>
    <w:rsid w:val="008306F6"/>
    <w:rsid w:val="008315D2"/>
    <w:rsid w:val="00831B6E"/>
    <w:rsid w:val="00834224"/>
    <w:rsid w:val="00834969"/>
    <w:rsid w:val="00834F4F"/>
    <w:rsid w:val="00835501"/>
    <w:rsid w:val="008369C9"/>
    <w:rsid w:val="00836E15"/>
    <w:rsid w:val="00837EED"/>
    <w:rsid w:val="00840E7D"/>
    <w:rsid w:val="00842C36"/>
    <w:rsid w:val="008434AD"/>
    <w:rsid w:val="00843902"/>
    <w:rsid w:val="00844481"/>
    <w:rsid w:val="00844776"/>
    <w:rsid w:val="00850690"/>
    <w:rsid w:val="0085095A"/>
    <w:rsid w:val="008509B9"/>
    <w:rsid w:val="008511F4"/>
    <w:rsid w:val="00853A70"/>
    <w:rsid w:val="00854552"/>
    <w:rsid w:val="00854AB0"/>
    <w:rsid w:val="00856F3E"/>
    <w:rsid w:val="00860B06"/>
    <w:rsid w:val="0086252D"/>
    <w:rsid w:val="008641BD"/>
    <w:rsid w:val="00864270"/>
    <w:rsid w:val="008709A8"/>
    <w:rsid w:val="008718ED"/>
    <w:rsid w:val="00871BB2"/>
    <w:rsid w:val="00871F6E"/>
    <w:rsid w:val="00875D9E"/>
    <w:rsid w:val="0088106E"/>
    <w:rsid w:val="0088181E"/>
    <w:rsid w:val="00881971"/>
    <w:rsid w:val="00881A06"/>
    <w:rsid w:val="00883472"/>
    <w:rsid w:val="008844EC"/>
    <w:rsid w:val="00885A55"/>
    <w:rsid w:val="00891C0C"/>
    <w:rsid w:val="00892C52"/>
    <w:rsid w:val="0089370C"/>
    <w:rsid w:val="00895039"/>
    <w:rsid w:val="00896DCC"/>
    <w:rsid w:val="008A0991"/>
    <w:rsid w:val="008A1E26"/>
    <w:rsid w:val="008A2641"/>
    <w:rsid w:val="008A33E8"/>
    <w:rsid w:val="008A3BAC"/>
    <w:rsid w:val="008A56C7"/>
    <w:rsid w:val="008A696A"/>
    <w:rsid w:val="008A710C"/>
    <w:rsid w:val="008B02D5"/>
    <w:rsid w:val="008B0890"/>
    <w:rsid w:val="008B0B79"/>
    <w:rsid w:val="008B113D"/>
    <w:rsid w:val="008B14D8"/>
    <w:rsid w:val="008B438D"/>
    <w:rsid w:val="008B4EE3"/>
    <w:rsid w:val="008B686F"/>
    <w:rsid w:val="008B754A"/>
    <w:rsid w:val="008C1779"/>
    <w:rsid w:val="008C1BC6"/>
    <w:rsid w:val="008C1E1B"/>
    <w:rsid w:val="008C33CD"/>
    <w:rsid w:val="008C7B76"/>
    <w:rsid w:val="008D11E9"/>
    <w:rsid w:val="008D189D"/>
    <w:rsid w:val="008D20FE"/>
    <w:rsid w:val="008D3FA5"/>
    <w:rsid w:val="008D6B8A"/>
    <w:rsid w:val="008E0A98"/>
    <w:rsid w:val="008E1313"/>
    <w:rsid w:val="008E1884"/>
    <w:rsid w:val="008E27E2"/>
    <w:rsid w:val="008E295E"/>
    <w:rsid w:val="008E3581"/>
    <w:rsid w:val="008E3EA3"/>
    <w:rsid w:val="008E410F"/>
    <w:rsid w:val="008E7AB4"/>
    <w:rsid w:val="008F13C1"/>
    <w:rsid w:val="008F1AD9"/>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193E"/>
    <w:rsid w:val="0091194C"/>
    <w:rsid w:val="0091389D"/>
    <w:rsid w:val="00913D2B"/>
    <w:rsid w:val="00914B5C"/>
    <w:rsid w:val="009154FE"/>
    <w:rsid w:val="009202C7"/>
    <w:rsid w:val="00920BE9"/>
    <w:rsid w:val="00921E72"/>
    <w:rsid w:val="0092215E"/>
    <w:rsid w:val="009256AE"/>
    <w:rsid w:val="00926133"/>
    <w:rsid w:val="00926462"/>
    <w:rsid w:val="0092658C"/>
    <w:rsid w:val="00933133"/>
    <w:rsid w:val="00933A5C"/>
    <w:rsid w:val="009359AE"/>
    <w:rsid w:val="00936B43"/>
    <w:rsid w:val="00937BD7"/>
    <w:rsid w:val="00940495"/>
    <w:rsid w:val="009413C1"/>
    <w:rsid w:val="009422DB"/>
    <w:rsid w:val="009434BF"/>
    <w:rsid w:val="00943B80"/>
    <w:rsid w:val="009451CB"/>
    <w:rsid w:val="009452F8"/>
    <w:rsid w:val="00945A0F"/>
    <w:rsid w:val="009477FB"/>
    <w:rsid w:val="00947A14"/>
    <w:rsid w:val="00947EB2"/>
    <w:rsid w:val="0095105E"/>
    <w:rsid w:val="00952C12"/>
    <w:rsid w:val="00954B92"/>
    <w:rsid w:val="00954D46"/>
    <w:rsid w:val="009562DB"/>
    <w:rsid w:val="00956A4A"/>
    <w:rsid w:val="0095728E"/>
    <w:rsid w:val="00960880"/>
    <w:rsid w:val="00962C60"/>
    <w:rsid w:val="00963C54"/>
    <w:rsid w:val="00963F5A"/>
    <w:rsid w:val="00965803"/>
    <w:rsid w:val="009665F9"/>
    <w:rsid w:val="00966E66"/>
    <w:rsid w:val="0096777C"/>
    <w:rsid w:val="009700F0"/>
    <w:rsid w:val="00970F34"/>
    <w:rsid w:val="0097109F"/>
    <w:rsid w:val="009718A1"/>
    <w:rsid w:val="00971A53"/>
    <w:rsid w:val="00971BAA"/>
    <w:rsid w:val="0097243A"/>
    <w:rsid w:val="0097250F"/>
    <w:rsid w:val="009745AE"/>
    <w:rsid w:val="00974F84"/>
    <w:rsid w:val="00975511"/>
    <w:rsid w:val="0097743F"/>
    <w:rsid w:val="00977E26"/>
    <w:rsid w:val="009816E0"/>
    <w:rsid w:val="00982138"/>
    <w:rsid w:val="00982CC4"/>
    <w:rsid w:val="00982D52"/>
    <w:rsid w:val="00984A4C"/>
    <w:rsid w:val="00986435"/>
    <w:rsid w:val="00986784"/>
    <w:rsid w:val="0099059B"/>
    <w:rsid w:val="00990DED"/>
    <w:rsid w:val="0099158A"/>
    <w:rsid w:val="009929ED"/>
    <w:rsid w:val="00996FD1"/>
    <w:rsid w:val="009A00C7"/>
    <w:rsid w:val="009A02EC"/>
    <w:rsid w:val="009A10B8"/>
    <w:rsid w:val="009A21BB"/>
    <w:rsid w:val="009A2C67"/>
    <w:rsid w:val="009A3B64"/>
    <w:rsid w:val="009A3F64"/>
    <w:rsid w:val="009A40AF"/>
    <w:rsid w:val="009A68D4"/>
    <w:rsid w:val="009A7C23"/>
    <w:rsid w:val="009B0480"/>
    <w:rsid w:val="009B0642"/>
    <w:rsid w:val="009B0912"/>
    <w:rsid w:val="009B12F3"/>
    <w:rsid w:val="009B140B"/>
    <w:rsid w:val="009B24DF"/>
    <w:rsid w:val="009B3E1B"/>
    <w:rsid w:val="009B3F2B"/>
    <w:rsid w:val="009B436A"/>
    <w:rsid w:val="009B58B5"/>
    <w:rsid w:val="009B6DBD"/>
    <w:rsid w:val="009B6F1F"/>
    <w:rsid w:val="009C1721"/>
    <w:rsid w:val="009C2471"/>
    <w:rsid w:val="009C43F4"/>
    <w:rsid w:val="009C50A2"/>
    <w:rsid w:val="009C6B8A"/>
    <w:rsid w:val="009D024B"/>
    <w:rsid w:val="009D19A6"/>
    <w:rsid w:val="009D1D63"/>
    <w:rsid w:val="009D28F6"/>
    <w:rsid w:val="009E032D"/>
    <w:rsid w:val="009E0A8A"/>
    <w:rsid w:val="009E0C2C"/>
    <w:rsid w:val="009E34D0"/>
    <w:rsid w:val="009E4887"/>
    <w:rsid w:val="009E6315"/>
    <w:rsid w:val="009E634F"/>
    <w:rsid w:val="009E7DA2"/>
    <w:rsid w:val="009F0017"/>
    <w:rsid w:val="009F3082"/>
    <w:rsid w:val="009F30CA"/>
    <w:rsid w:val="009F66BA"/>
    <w:rsid w:val="009F6951"/>
    <w:rsid w:val="00A00D99"/>
    <w:rsid w:val="00A0184B"/>
    <w:rsid w:val="00A01D9F"/>
    <w:rsid w:val="00A02C1B"/>
    <w:rsid w:val="00A02FB6"/>
    <w:rsid w:val="00A05201"/>
    <w:rsid w:val="00A06DBB"/>
    <w:rsid w:val="00A10D45"/>
    <w:rsid w:val="00A11256"/>
    <w:rsid w:val="00A136D2"/>
    <w:rsid w:val="00A13DC9"/>
    <w:rsid w:val="00A1534B"/>
    <w:rsid w:val="00A166FB"/>
    <w:rsid w:val="00A16B87"/>
    <w:rsid w:val="00A17169"/>
    <w:rsid w:val="00A21269"/>
    <w:rsid w:val="00A21A43"/>
    <w:rsid w:val="00A221B9"/>
    <w:rsid w:val="00A226F8"/>
    <w:rsid w:val="00A25BEB"/>
    <w:rsid w:val="00A26D5A"/>
    <w:rsid w:val="00A27998"/>
    <w:rsid w:val="00A27A19"/>
    <w:rsid w:val="00A3255E"/>
    <w:rsid w:val="00A325B6"/>
    <w:rsid w:val="00A328A1"/>
    <w:rsid w:val="00A32B15"/>
    <w:rsid w:val="00A34053"/>
    <w:rsid w:val="00A34D11"/>
    <w:rsid w:val="00A35188"/>
    <w:rsid w:val="00A36AB8"/>
    <w:rsid w:val="00A37139"/>
    <w:rsid w:val="00A37225"/>
    <w:rsid w:val="00A374B6"/>
    <w:rsid w:val="00A37C23"/>
    <w:rsid w:val="00A40F4F"/>
    <w:rsid w:val="00A43B7E"/>
    <w:rsid w:val="00A44FA4"/>
    <w:rsid w:val="00A45D84"/>
    <w:rsid w:val="00A50E08"/>
    <w:rsid w:val="00A51523"/>
    <w:rsid w:val="00A51EF6"/>
    <w:rsid w:val="00A5202F"/>
    <w:rsid w:val="00A5228B"/>
    <w:rsid w:val="00A53857"/>
    <w:rsid w:val="00A6176F"/>
    <w:rsid w:val="00A61842"/>
    <w:rsid w:val="00A61FF1"/>
    <w:rsid w:val="00A65517"/>
    <w:rsid w:val="00A6654F"/>
    <w:rsid w:val="00A66B72"/>
    <w:rsid w:val="00A707A7"/>
    <w:rsid w:val="00A7108B"/>
    <w:rsid w:val="00A71D77"/>
    <w:rsid w:val="00A7374B"/>
    <w:rsid w:val="00A75502"/>
    <w:rsid w:val="00A7642E"/>
    <w:rsid w:val="00A76532"/>
    <w:rsid w:val="00A77A97"/>
    <w:rsid w:val="00A8106A"/>
    <w:rsid w:val="00A8151F"/>
    <w:rsid w:val="00A83E78"/>
    <w:rsid w:val="00A85506"/>
    <w:rsid w:val="00A8613D"/>
    <w:rsid w:val="00A90B96"/>
    <w:rsid w:val="00A92BEF"/>
    <w:rsid w:val="00A92FFB"/>
    <w:rsid w:val="00A95203"/>
    <w:rsid w:val="00A95889"/>
    <w:rsid w:val="00A96987"/>
    <w:rsid w:val="00A96DBE"/>
    <w:rsid w:val="00AA1823"/>
    <w:rsid w:val="00AA19EA"/>
    <w:rsid w:val="00AA2D61"/>
    <w:rsid w:val="00AA4AA7"/>
    <w:rsid w:val="00AA6298"/>
    <w:rsid w:val="00AA77F5"/>
    <w:rsid w:val="00AA78ED"/>
    <w:rsid w:val="00AA7E2B"/>
    <w:rsid w:val="00AB2255"/>
    <w:rsid w:val="00AB2DFB"/>
    <w:rsid w:val="00AB32AB"/>
    <w:rsid w:val="00AB3330"/>
    <w:rsid w:val="00AB49B7"/>
    <w:rsid w:val="00AB5837"/>
    <w:rsid w:val="00AB6C87"/>
    <w:rsid w:val="00AC1845"/>
    <w:rsid w:val="00AC6371"/>
    <w:rsid w:val="00AD1A5F"/>
    <w:rsid w:val="00AD2BA5"/>
    <w:rsid w:val="00AD2C3F"/>
    <w:rsid w:val="00AD30E7"/>
    <w:rsid w:val="00AD435F"/>
    <w:rsid w:val="00AD522D"/>
    <w:rsid w:val="00AD5681"/>
    <w:rsid w:val="00AD5955"/>
    <w:rsid w:val="00AD752B"/>
    <w:rsid w:val="00AE0DF5"/>
    <w:rsid w:val="00AE2562"/>
    <w:rsid w:val="00AE3122"/>
    <w:rsid w:val="00AE3ACE"/>
    <w:rsid w:val="00AE4E58"/>
    <w:rsid w:val="00AE548D"/>
    <w:rsid w:val="00AE5B87"/>
    <w:rsid w:val="00AF08B4"/>
    <w:rsid w:val="00AF1A0C"/>
    <w:rsid w:val="00AF3956"/>
    <w:rsid w:val="00AF5F8E"/>
    <w:rsid w:val="00B045BF"/>
    <w:rsid w:val="00B04D3C"/>
    <w:rsid w:val="00B05415"/>
    <w:rsid w:val="00B05BD3"/>
    <w:rsid w:val="00B0736B"/>
    <w:rsid w:val="00B11F0F"/>
    <w:rsid w:val="00B12059"/>
    <w:rsid w:val="00B12CD0"/>
    <w:rsid w:val="00B13C6B"/>
    <w:rsid w:val="00B20B74"/>
    <w:rsid w:val="00B20CF8"/>
    <w:rsid w:val="00B21464"/>
    <w:rsid w:val="00B231A6"/>
    <w:rsid w:val="00B24D6B"/>
    <w:rsid w:val="00B25F39"/>
    <w:rsid w:val="00B26DE5"/>
    <w:rsid w:val="00B30394"/>
    <w:rsid w:val="00B31FD8"/>
    <w:rsid w:val="00B32F0B"/>
    <w:rsid w:val="00B33A4B"/>
    <w:rsid w:val="00B343DE"/>
    <w:rsid w:val="00B35B0B"/>
    <w:rsid w:val="00B41F7B"/>
    <w:rsid w:val="00B426FF"/>
    <w:rsid w:val="00B4529F"/>
    <w:rsid w:val="00B4704B"/>
    <w:rsid w:val="00B51228"/>
    <w:rsid w:val="00B614D8"/>
    <w:rsid w:val="00B62B6B"/>
    <w:rsid w:val="00B6509E"/>
    <w:rsid w:val="00B65EBB"/>
    <w:rsid w:val="00B66DA3"/>
    <w:rsid w:val="00B7012F"/>
    <w:rsid w:val="00B71305"/>
    <w:rsid w:val="00B71702"/>
    <w:rsid w:val="00B72D32"/>
    <w:rsid w:val="00B73165"/>
    <w:rsid w:val="00B757F5"/>
    <w:rsid w:val="00B80324"/>
    <w:rsid w:val="00B815B1"/>
    <w:rsid w:val="00B827D0"/>
    <w:rsid w:val="00B832C4"/>
    <w:rsid w:val="00B8573D"/>
    <w:rsid w:val="00B86943"/>
    <w:rsid w:val="00B910C3"/>
    <w:rsid w:val="00B911F1"/>
    <w:rsid w:val="00B92A15"/>
    <w:rsid w:val="00B932AB"/>
    <w:rsid w:val="00B93549"/>
    <w:rsid w:val="00B951A5"/>
    <w:rsid w:val="00B95749"/>
    <w:rsid w:val="00B970BB"/>
    <w:rsid w:val="00BA008F"/>
    <w:rsid w:val="00BA059E"/>
    <w:rsid w:val="00BA2AA6"/>
    <w:rsid w:val="00BA2B13"/>
    <w:rsid w:val="00BA40AE"/>
    <w:rsid w:val="00BA4D51"/>
    <w:rsid w:val="00BA661A"/>
    <w:rsid w:val="00BA6E6C"/>
    <w:rsid w:val="00BB25EE"/>
    <w:rsid w:val="00BB28D2"/>
    <w:rsid w:val="00BB2996"/>
    <w:rsid w:val="00BB308F"/>
    <w:rsid w:val="00BB37CC"/>
    <w:rsid w:val="00BB3BE5"/>
    <w:rsid w:val="00BB6E3A"/>
    <w:rsid w:val="00BC061A"/>
    <w:rsid w:val="00BC0C2D"/>
    <w:rsid w:val="00BC31CC"/>
    <w:rsid w:val="00BC31D4"/>
    <w:rsid w:val="00BC34B3"/>
    <w:rsid w:val="00BC3B46"/>
    <w:rsid w:val="00BC53EE"/>
    <w:rsid w:val="00BC69AB"/>
    <w:rsid w:val="00BD1D42"/>
    <w:rsid w:val="00BD34E8"/>
    <w:rsid w:val="00BD4B7E"/>
    <w:rsid w:val="00BE23DA"/>
    <w:rsid w:val="00BE2519"/>
    <w:rsid w:val="00BE2C51"/>
    <w:rsid w:val="00BE4732"/>
    <w:rsid w:val="00BE5D99"/>
    <w:rsid w:val="00BF095E"/>
    <w:rsid w:val="00BF15BD"/>
    <w:rsid w:val="00BF15E8"/>
    <w:rsid w:val="00BF210D"/>
    <w:rsid w:val="00BF25CA"/>
    <w:rsid w:val="00BF3C92"/>
    <w:rsid w:val="00BF472C"/>
    <w:rsid w:val="00BF4F76"/>
    <w:rsid w:val="00BF4FBC"/>
    <w:rsid w:val="00BF65E6"/>
    <w:rsid w:val="00BF7365"/>
    <w:rsid w:val="00C003B5"/>
    <w:rsid w:val="00C01021"/>
    <w:rsid w:val="00C03EDC"/>
    <w:rsid w:val="00C04567"/>
    <w:rsid w:val="00C05149"/>
    <w:rsid w:val="00C10E01"/>
    <w:rsid w:val="00C114E1"/>
    <w:rsid w:val="00C124F7"/>
    <w:rsid w:val="00C12E72"/>
    <w:rsid w:val="00C156F8"/>
    <w:rsid w:val="00C159ED"/>
    <w:rsid w:val="00C16745"/>
    <w:rsid w:val="00C17555"/>
    <w:rsid w:val="00C17608"/>
    <w:rsid w:val="00C17EED"/>
    <w:rsid w:val="00C22682"/>
    <w:rsid w:val="00C22D8E"/>
    <w:rsid w:val="00C233EE"/>
    <w:rsid w:val="00C2394B"/>
    <w:rsid w:val="00C25C39"/>
    <w:rsid w:val="00C25CF0"/>
    <w:rsid w:val="00C2799B"/>
    <w:rsid w:val="00C30AFB"/>
    <w:rsid w:val="00C30C78"/>
    <w:rsid w:val="00C32DB7"/>
    <w:rsid w:val="00C33584"/>
    <w:rsid w:val="00C348B8"/>
    <w:rsid w:val="00C356A1"/>
    <w:rsid w:val="00C35793"/>
    <w:rsid w:val="00C35A93"/>
    <w:rsid w:val="00C36A98"/>
    <w:rsid w:val="00C40CD7"/>
    <w:rsid w:val="00C40FF3"/>
    <w:rsid w:val="00C411D7"/>
    <w:rsid w:val="00C42161"/>
    <w:rsid w:val="00C44DC6"/>
    <w:rsid w:val="00C454D3"/>
    <w:rsid w:val="00C464EF"/>
    <w:rsid w:val="00C47BC3"/>
    <w:rsid w:val="00C47FF1"/>
    <w:rsid w:val="00C5058A"/>
    <w:rsid w:val="00C51327"/>
    <w:rsid w:val="00C52124"/>
    <w:rsid w:val="00C56B5F"/>
    <w:rsid w:val="00C57992"/>
    <w:rsid w:val="00C57F41"/>
    <w:rsid w:val="00C5EEB6"/>
    <w:rsid w:val="00C6039E"/>
    <w:rsid w:val="00C6061E"/>
    <w:rsid w:val="00C6077F"/>
    <w:rsid w:val="00C60C81"/>
    <w:rsid w:val="00C613A4"/>
    <w:rsid w:val="00C61F73"/>
    <w:rsid w:val="00C62563"/>
    <w:rsid w:val="00C6413D"/>
    <w:rsid w:val="00C64990"/>
    <w:rsid w:val="00C652DD"/>
    <w:rsid w:val="00C65D24"/>
    <w:rsid w:val="00C66069"/>
    <w:rsid w:val="00C6638D"/>
    <w:rsid w:val="00C70732"/>
    <w:rsid w:val="00C709DF"/>
    <w:rsid w:val="00C70E2B"/>
    <w:rsid w:val="00C71B61"/>
    <w:rsid w:val="00C72440"/>
    <w:rsid w:val="00C733D3"/>
    <w:rsid w:val="00C74454"/>
    <w:rsid w:val="00C7481A"/>
    <w:rsid w:val="00C74A12"/>
    <w:rsid w:val="00C753C7"/>
    <w:rsid w:val="00C75995"/>
    <w:rsid w:val="00C7625E"/>
    <w:rsid w:val="00C76437"/>
    <w:rsid w:val="00C76E02"/>
    <w:rsid w:val="00C77A2D"/>
    <w:rsid w:val="00C81A14"/>
    <w:rsid w:val="00C8374A"/>
    <w:rsid w:val="00C84C4B"/>
    <w:rsid w:val="00C85E19"/>
    <w:rsid w:val="00C90919"/>
    <w:rsid w:val="00C90F84"/>
    <w:rsid w:val="00C921D4"/>
    <w:rsid w:val="00C92865"/>
    <w:rsid w:val="00C930B1"/>
    <w:rsid w:val="00C93801"/>
    <w:rsid w:val="00C94C24"/>
    <w:rsid w:val="00CA024B"/>
    <w:rsid w:val="00CA1E0B"/>
    <w:rsid w:val="00CA3C43"/>
    <w:rsid w:val="00CA472C"/>
    <w:rsid w:val="00CA55C5"/>
    <w:rsid w:val="00CA5868"/>
    <w:rsid w:val="00CA5A49"/>
    <w:rsid w:val="00CA6AEB"/>
    <w:rsid w:val="00CA72DA"/>
    <w:rsid w:val="00CA7A70"/>
    <w:rsid w:val="00CB03E8"/>
    <w:rsid w:val="00CB0978"/>
    <w:rsid w:val="00CB0FC0"/>
    <w:rsid w:val="00CB1EBD"/>
    <w:rsid w:val="00CC14AE"/>
    <w:rsid w:val="00CC1AED"/>
    <w:rsid w:val="00CC2931"/>
    <w:rsid w:val="00CC29E1"/>
    <w:rsid w:val="00CC2C55"/>
    <w:rsid w:val="00CC3132"/>
    <w:rsid w:val="00CC3F40"/>
    <w:rsid w:val="00CD08A5"/>
    <w:rsid w:val="00CD1D3B"/>
    <w:rsid w:val="00CD1FC2"/>
    <w:rsid w:val="00CD4F05"/>
    <w:rsid w:val="00CE096B"/>
    <w:rsid w:val="00CE1BEC"/>
    <w:rsid w:val="00CE2DE2"/>
    <w:rsid w:val="00CE520A"/>
    <w:rsid w:val="00CE537C"/>
    <w:rsid w:val="00CE58C5"/>
    <w:rsid w:val="00CE75A8"/>
    <w:rsid w:val="00CE76CC"/>
    <w:rsid w:val="00CF0021"/>
    <w:rsid w:val="00CF0056"/>
    <w:rsid w:val="00CF3671"/>
    <w:rsid w:val="00CF72B5"/>
    <w:rsid w:val="00CF7BA6"/>
    <w:rsid w:val="00D00ED4"/>
    <w:rsid w:val="00D01FB6"/>
    <w:rsid w:val="00D025CB"/>
    <w:rsid w:val="00D0578D"/>
    <w:rsid w:val="00D058A1"/>
    <w:rsid w:val="00D069CA"/>
    <w:rsid w:val="00D11A8B"/>
    <w:rsid w:val="00D11BE4"/>
    <w:rsid w:val="00D11E0E"/>
    <w:rsid w:val="00D123E4"/>
    <w:rsid w:val="00D1318E"/>
    <w:rsid w:val="00D14745"/>
    <w:rsid w:val="00D14E02"/>
    <w:rsid w:val="00D15994"/>
    <w:rsid w:val="00D17A12"/>
    <w:rsid w:val="00D17ADD"/>
    <w:rsid w:val="00D200AB"/>
    <w:rsid w:val="00D218CD"/>
    <w:rsid w:val="00D21936"/>
    <w:rsid w:val="00D2299C"/>
    <w:rsid w:val="00D239C5"/>
    <w:rsid w:val="00D31245"/>
    <w:rsid w:val="00D31FA2"/>
    <w:rsid w:val="00D335CE"/>
    <w:rsid w:val="00D40D77"/>
    <w:rsid w:val="00D437C8"/>
    <w:rsid w:val="00D44E82"/>
    <w:rsid w:val="00D450D2"/>
    <w:rsid w:val="00D45EEB"/>
    <w:rsid w:val="00D46AF9"/>
    <w:rsid w:val="00D47886"/>
    <w:rsid w:val="00D50407"/>
    <w:rsid w:val="00D50E25"/>
    <w:rsid w:val="00D53A55"/>
    <w:rsid w:val="00D54E0D"/>
    <w:rsid w:val="00D5564F"/>
    <w:rsid w:val="00D55CFE"/>
    <w:rsid w:val="00D5622C"/>
    <w:rsid w:val="00D562EB"/>
    <w:rsid w:val="00D57713"/>
    <w:rsid w:val="00D609D5"/>
    <w:rsid w:val="00D60A7E"/>
    <w:rsid w:val="00D610E0"/>
    <w:rsid w:val="00D62A40"/>
    <w:rsid w:val="00D63C25"/>
    <w:rsid w:val="00D63E75"/>
    <w:rsid w:val="00D6556E"/>
    <w:rsid w:val="00D6649B"/>
    <w:rsid w:val="00D702ED"/>
    <w:rsid w:val="00D70E43"/>
    <w:rsid w:val="00D70EFF"/>
    <w:rsid w:val="00D71DC4"/>
    <w:rsid w:val="00D72A5D"/>
    <w:rsid w:val="00D72EA2"/>
    <w:rsid w:val="00D7373E"/>
    <w:rsid w:val="00D73A91"/>
    <w:rsid w:val="00D73EBC"/>
    <w:rsid w:val="00D75572"/>
    <w:rsid w:val="00D76B57"/>
    <w:rsid w:val="00D8129A"/>
    <w:rsid w:val="00D81D7A"/>
    <w:rsid w:val="00D83672"/>
    <w:rsid w:val="00D83ADC"/>
    <w:rsid w:val="00D84367"/>
    <w:rsid w:val="00D84872"/>
    <w:rsid w:val="00D84AF4"/>
    <w:rsid w:val="00D8665E"/>
    <w:rsid w:val="00D86D9E"/>
    <w:rsid w:val="00D8734A"/>
    <w:rsid w:val="00D8746D"/>
    <w:rsid w:val="00D9059B"/>
    <w:rsid w:val="00D90C30"/>
    <w:rsid w:val="00D919AC"/>
    <w:rsid w:val="00D93CE2"/>
    <w:rsid w:val="00D95BB3"/>
    <w:rsid w:val="00DA0CAD"/>
    <w:rsid w:val="00DA11A8"/>
    <w:rsid w:val="00DA22A5"/>
    <w:rsid w:val="00DA57A5"/>
    <w:rsid w:val="00DA76DA"/>
    <w:rsid w:val="00DA7B6A"/>
    <w:rsid w:val="00DB0B12"/>
    <w:rsid w:val="00DB12A1"/>
    <w:rsid w:val="00DB12B6"/>
    <w:rsid w:val="00DB45D6"/>
    <w:rsid w:val="00DB5040"/>
    <w:rsid w:val="00DB52C2"/>
    <w:rsid w:val="00DC5D63"/>
    <w:rsid w:val="00DC7A3E"/>
    <w:rsid w:val="00DC7C34"/>
    <w:rsid w:val="00DD21C0"/>
    <w:rsid w:val="00DD3BAE"/>
    <w:rsid w:val="00DD3DDF"/>
    <w:rsid w:val="00DD42D7"/>
    <w:rsid w:val="00DD4D71"/>
    <w:rsid w:val="00DD6033"/>
    <w:rsid w:val="00DD6BA7"/>
    <w:rsid w:val="00DE1A29"/>
    <w:rsid w:val="00DE3E3E"/>
    <w:rsid w:val="00DE41C5"/>
    <w:rsid w:val="00DE4371"/>
    <w:rsid w:val="00DE5D9B"/>
    <w:rsid w:val="00DF057C"/>
    <w:rsid w:val="00DF2C9D"/>
    <w:rsid w:val="00DF43BB"/>
    <w:rsid w:val="00DF50BD"/>
    <w:rsid w:val="00DF5599"/>
    <w:rsid w:val="00DF644C"/>
    <w:rsid w:val="00DF6FDC"/>
    <w:rsid w:val="00DF7A81"/>
    <w:rsid w:val="00DF7B42"/>
    <w:rsid w:val="00E015A0"/>
    <w:rsid w:val="00E021F1"/>
    <w:rsid w:val="00E03387"/>
    <w:rsid w:val="00E0543E"/>
    <w:rsid w:val="00E054E3"/>
    <w:rsid w:val="00E05D7E"/>
    <w:rsid w:val="00E0647D"/>
    <w:rsid w:val="00E06A36"/>
    <w:rsid w:val="00E06D57"/>
    <w:rsid w:val="00E06DCC"/>
    <w:rsid w:val="00E11EA7"/>
    <w:rsid w:val="00E14A49"/>
    <w:rsid w:val="00E15196"/>
    <w:rsid w:val="00E15B75"/>
    <w:rsid w:val="00E2120A"/>
    <w:rsid w:val="00E21CD8"/>
    <w:rsid w:val="00E21DB7"/>
    <w:rsid w:val="00E232E4"/>
    <w:rsid w:val="00E23C93"/>
    <w:rsid w:val="00E24A41"/>
    <w:rsid w:val="00E2508E"/>
    <w:rsid w:val="00E26E10"/>
    <w:rsid w:val="00E276B8"/>
    <w:rsid w:val="00E32636"/>
    <w:rsid w:val="00E33378"/>
    <w:rsid w:val="00E3729D"/>
    <w:rsid w:val="00E3734D"/>
    <w:rsid w:val="00E405C0"/>
    <w:rsid w:val="00E41486"/>
    <w:rsid w:val="00E43D1F"/>
    <w:rsid w:val="00E45B2D"/>
    <w:rsid w:val="00E501BB"/>
    <w:rsid w:val="00E50C67"/>
    <w:rsid w:val="00E50FD8"/>
    <w:rsid w:val="00E5416F"/>
    <w:rsid w:val="00E5418B"/>
    <w:rsid w:val="00E54442"/>
    <w:rsid w:val="00E55399"/>
    <w:rsid w:val="00E557F5"/>
    <w:rsid w:val="00E565E2"/>
    <w:rsid w:val="00E57164"/>
    <w:rsid w:val="00E57773"/>
    <w:rsid w:val="00E6268C"/>
    <w:rsid w:val="00E63484"/>
    <w:rsid w:val="00E63A8C"/>
    <w:rsid w:val="00E657FF"/>
    <w:rsid w:val="00E70C4B"/>
    <w:rsid w:val="00E72A40"/>
    <w:rsid w:val="00E74396"/>
    <w:rsid w:val="00E7439A"/>
    <w:rsid w:val="00E74F7D"/>
    <w:rsid w:val="00E761C1"/>
    <w:rsid w:val="00E77CCE"/>
    <w:rsid w:val="00E80C19"/>
    <w:rsid w:val="00E80DA6"/>
    <w:rsid w:val="00E8101B"/>
    <w:rsid w:val="00E82999"/>
    <w:rsid w:val="00E82F15"/>
    <w:rsid w:val="00E8499C"/>
    <w:rsid w:val="00E85F9E"/>
    <w:rsid w:val="00E86309"/>
    <w:rsid w:val="00E87664"/>
    <w:rsid w:val="00E878B2"/>
    <w:rsid w:val="00E879A7"/>
    <w:rsid w:val="00E90E89"/>
    <w:rsid w:val="00E91B40"/>
    <w:rsid w:val="00E91EF5"/>
    <w:rsid w:val="00E927B1"/>
    <w:rsid w:val="00E9739F"/>
    <w:rsid w:val="00E9743F"/>
    <w:rsid w:val="00E97F62"/>
    <w:rsid w:val="00EA2263"/>
    <w:rsid w:val="00EA25A3"/>
    <w:rsid w:val="00EA5C2B"/>
    <w:rsid w:val="00EA5F98"/>
    <w:rsid w:val="00EA64E7"/>
    <w:rsid w:val="00EA7A64"/>
    <w:rsid w:val="00EA7C75"/>
    <w:rsid w:val="00EA7E19"/>
    <w:rsid w:val="00EB007B"/>
    <w:rsid w:val="00EB0090"/>
    <w:rsid w:val="00EB222A"/>
    <w:rsid w:val="00EB3482"/>
    <w:rsid w:val="00EB3CF5"/>
    <w:rsid w:val="00EB5CD3"/>
    <w:rsid w:val="00EC0016"/>
    <w:rsid w:val="00EC088D"/>
    <w:rsid w:val="00EC0BA2"/>
    <w:rsid w:val="00EC241A"/>
    <w:rsid w:val="00EC2466"/>
    <w:rsid w:val="00EC5133"/>
    <w:rsid w:val="00EC6995"/>
    <w:rsid w:val="00ED4836"/>
    <w:rsid w:val="00ED57C6"/>
    <w:rsid w:val="00ED5A34"/>
    <w:rsid w:val="00ED6865"/>
    <w:rsid w:val="00EE0F61"/>
    <w:rsid w:val="00EE17DF"/>
    <w:rsid w:val="00EE223B"/>
    <w:rsid w:val="00EE2652"/>
    <w:rsid w:val="00EE2913"/>
    <w:rsid w:val="00EE2BC8"/>
    <w:rsid w:val="00EE3946"/>
    <w:rsid w:val="00EE403B"/>
    <w:rsid w:val="00EE4395"/>
    <w:rsid w:val="00EE4E64"/>
    <w:rsid w:val="00EE685B"/>
    <w:rsid w:val="00EE68DB"/>
    <w:rsid w:val="00EE7836"/>
    <w:rsid w:val="00EF0F9B"/>
    <w:rsid w:val="00EF1F4E"/>
    <w:rsid w:val="00EF3FD1"/>
    <w:rsid w:val="00EF7D43"/>
    <w:rsid w:val="00F00071"/>
    <w:rsid w:val="00F012F6"/>
    <w:rsid w:val="00F01C5D"/>
    <w:rsid w:val="00F027B0"/>
    <w:rsid w:val="00F0371D"/>
    <w:rsid w:val="00F0420F"/>
    <w:rsid w:val="00F05E12"/>
    <w:rsid w:val="00F06A60"/>
    <w:rsid w:val="00F103A8"/>
    <w:rsid w:val="00F10CEB"/>
    <w:rsid w:val="00F10DA3"/>
    <w:rsid w:val="00F11A8D"/>
    <w:rsid w:val="00F12842"/>
    <w:rsid w:val="00F1309B"/>
    <w:rsid w:val="00F1351F"/>
    <w:rsid w:val="00F140AA"/>
    <w:rsid w:val="00F140BE"/>
    <w:rsid w:val="00F1462E"/>
    <w:rsid w:val="00F14FA3"/>
    <w:rsid w:val="00F157D2"/>
    <w:rsid w:val="00F162DC"/>
    <w:rsid w:val="00F16403"/>
    <w:rsid w:val="00F22C73"/>
    <w:rsid w:val="00F22EB3"/>
    <w:rsid w:val="00F2446B"/>
    <w:rsid w:val="00F25D82"/>
    <w:rsid w:val="00F26145"/>
    <w:rsid w:val="00F26168"/>
    <w:rsid w:val="00F277E6"/>
    <w:rsid w:val="00F30845"/>
    <w:rsid w:val="00F31B56"/>
    <w:rsid w:val="00F31F09"/>
    <w:rsid w:val="00F32AF0"/>
    <w:rsid w:val="00F33156"/>
    <w:rsid w:val="00F3370D"/>
    <w:rsid w:val="00F3537B"/>
    <w:rsid w:val="00F40C85"/>
    <w:rsid w:val="00F41EB0"/>
    <w:rsid w:val="00F42B90"/>
    <w:rsid w:val="00F449C2"/>
    <w:rsid w:val="00F45528"/>
    <w:rsid w:val="00F46190"/>
    <w:rsid w:val="00F52368"/>
    <w:rsid w:val="00F52B5F"/>
    <w:rsid w:val="00F53C8B"/>
    <w:rsid w:val="00F5439F"/>
    <w:rsid w:val="00F545BF"/>
    <w:rsid w:val="00F572B9"/>
    <w:rsid w:val="00F611DD"/>
    <w:rsid w:val="00F61B69"/>
    <w:rsid w:val="00F628CE"/>
    <w:rsid w:val="00F64A54"/>
    <w:rsid w:val="00F661FE"/>
    <w:rsid w:val="00F662A3"/>
    <w:rsid w:val="00F66EF5"/>
    <w:rsid w:val="00F679BD"/>
    <w:rsid w:val="00F7106C"/>
    <w:rsid w:val="00F71A79"/>
    <w:rsid w:val="00F73400"/>
    <w:rsid w:val="00F75E88"/>
    <w:rsid w:val="00F773DC"/>
    <w:rsid w:val="00F7787A"/>
    <w:rsid w:val="00F77E6F"/>
    <w:rsid w:val="00F80532"/>
    <w:rsid w:val="00F8240E"/>
    <w:rsid w:val="00F831D9"/>
    <w:rsid w:val="00F8528A"/>
    <w:rsid w:val="00F86172"/>
    <w:rsid w:val="00F86460"/>
    <w:rsid w:val="00F87EF5"/>
    <w:rsid w:val="00F90DC1"/>
    <w:rsid w:val="00F9141D"/>
    <w:rsid w:val="00F9342B"/>
    <w:rsid w:val="00F93950"/>
    <w:rsid w:val="00F94FF4"/>
    <w:rsid w:val="00F95452"/>
    <w:rsid w:val="00F95520"/>
    <w:rsid w:val="00F95B99"/>
    <w:rsid w:val="00F95CCE"/>
    <w:rsid w:val="00F9793A"/>
    <w:rsid w:val="00F97AAC"/>
    <w:rsid w:val="00FA13C7"/>
    <w:rsid w:val="00FA23C7"/>
    <w:rsid w:val="00FA2E03"/>
    <w:rsid w:val="00FA32D3"/>
    <w:rsid w:val="00FA4F95"/>
    <w:rsid w:val="00FA6495"/>
    <w:rsid w:val="00FA6616"/>
    <w:rsid w:val="00FB0402"/>
    <w:rsid w:val="00FB0DCF"/>
    <w:rsid w:val="00FB279B"/>
    <w:rsid w:val="00FB3165"/>
    <w:rsid w:val="00FB3B59"/>
    <w:rsid w:val="00FB5311"/>
    <w:rsid w:val="00FB6058"/>
    <w:rsid w:val="00FC010D"/>
    <w:rsid w:val="00FC10C3"/>
    <w:rsid w:val="00FC1E33"/>
    <w:rsid w:val="00FC261E"/>
    <w:rsid w:val="00FC2B2A"/>
    <w:rsid w:val="00FC2FD3"/>
    <w:rsid w:val="00FC3943"/>
    <w:rsid w:val="00FC438F"/>
    <w:rsid w:val="00FC6022"/>
    <w:rsid w:val="00FC629C"/>
    <w:rsid w:val="00FD2096"/>
    <w:rsid w:val="00FD47B7"/>
    <w:rsid w:val="00FD4E2F"/>
    <w:rsid w:val="00FE00BE"/>
    <w:rsid w:val="00FE052D"/>
    <w:rsid w:val="00FE181B"/>
    <w:rsid w:val="00FE1A8D"/>
    <w:rsid w:val="00FE244D"/>
    <w:rsid w:val="00FE3946"/>
    <w:rsid w:val="00FE3CC4"/>
    <w:rsid w:val="00FE4730"/>
    <w:rsid w:val="00FE5F67"/>
    <w:rsid w:val="00FF0EA2"/>
    <w:rsid w:val="00FF1923"/>
    <w:rsid w:val="00FF1E1D"/>
    <w:rsid w:val="00FF1FC1"/>
    <w:rsid w:val="00FF2B1C"/>
    <w:rsid w:val="00FF3F1F"/>
    <w:rsid w:val="00FF4AA5"/>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94E6E49-9E8E-49F1-91D6-B2EFCD54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11.svg"/><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endowmentfoundation.org.uk/education-evidence/more-resources-and-support/using-research-evidenc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oecd.org/content/dam/oecd/en/publications/reports/2020/01/teachers-well-being_bdafdeaf/c36fc9d3-en.pdf" TargetMode="External"/><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2tic4wvo1iusb.cloudfront.net/production/documents/using_research_evidence_-_a_concise_guide.pdf" TargetMode="External"/><Relationship Id="rId27" Type="http://schemas.openxmlformats.org/officeDocument/2006/relationships/hyperlink" Target="https://www.oecd.org/content/dam/oecd/en/publications/reports/2020/01/teachers-well-being_bdafdeaf/c36fc9d3-en.pdf" TargetMode="External"/><Relationship Id="rId30" Type="http://schemas.openxmlformats.org/officeDocument/2006/relationships/footer" Target="foot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A910DC79-EB6E-4F47-850A-1808198E19D6}">
    <t:Anchor>
      <t:Comment id="1735348750"/>
    </t:Anchor>
    <t:History>
      <t:Event id="{1F65F5C2-CED9-4A1A-A1B8-93054F93955D}" time="2023-10-16T11:29:17.451Z">
        <t:Attribution userId="S::r.eccles@niot.org.uk::190fb5b0-c4ff-41ce-a096-b2de483e3a20" userProvider="AD" userName="Rosie Eccles"/>
        <t:Anchor>
          <t:Comment id="1735348750"/>
        </t:Anchor>
        <t:Create/>
      </t:Event>
      <t:Event id="{047CFA60-151C-451B-8D14-184C6C442D9C}" time="2023-10-16T11:29:17.451Z">
        <t:Attribution userId="S::r.eccles@niot.org.uk::190fb5b0-c4ff-41ce-a096-b2de483e3a20" userProvider="AD" userName="Rosie Eccles"/>
        <t:Anchor>
          <t:Comment id="1735348750"/>
        </t:Anchor>
        <t:Assign userId="S::g.morris@niot.org.uk::456aa831-48a5-4f1c-b19e-8626bd254496" userProvider="AD" userName="Georgina Morris"/>
      </t:Event>
      <t:Event id="{A9623A81-4F8A-4B4E-A835-96C29FF387DC}" time="2023-10-16T11:29:17.451Z">
        <t:Attribution userId="S::r.eccles@niot.org.uk::190fb5b0-c4ff-41ce-a096-b2de483e3a20" userProvider="AD" userName="Rosie Eccles"/>
        <t:Anchor>
          <t:Comment id="1735348750"/>
        </t:Anchor>
        <t:SetTitle title="Ready for review @Georgina Morris "/>
      </t:Event>
      <t:Event id="{5C0B8F6D-DAF2-49F5-9213-A162598F56E8}" time="2023-10-16T11:45:11.466Z">
        <t:Attribution userId="S::g.morris@niot.org.uk::456aa831-48a5-4f1c-b19e-8626bd254496" userProvider="AD" userName="Georgina Morr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967A99" w:rsidRDefault="00A221B9">
          <w:pPr>
            <w:pStyle w:val="1ED53E2F4B5A4D17B608CF0E570819D1"/>
          </w:pPr>
          <w:r>
            <w:rPr>
              <w:rFonts w:asciiTheme="majorHAnsi" w:eastAsiaTheme="majorEastAsia" w:hAnsiTheme="majorHAnsi" w:cstheme="majorBidi"/>
              <w:color w:val="0F4761"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967A99" w:rsidRDefault="00C852B9">
          <w:pPr>
            <w:pStyle w:val="991101BEED3645A0A574274922ECE99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725A1"/>
    <w:rsid w:val="001218CF"/>
    <w:rsid w:val="00156935"/>
    <w:rsid w:val="00163123"/>
    <w:rsid w:val="0019059A"/>
    <w:rsid w:val="0027491B"/>
    <w:rsid w:val="002F37BC"/>
    <w:rsid w:val="003270E4"/>
    <w:rsid w:val="003438E3"/>
    <w:rsid w:val="00372C7F"/>
    <w:rsid w:val="003745BD"/>
    <w:rsid w:val="00381EFA"/>
    <w:rsid w:val="003F5596"/>
    <w:rsid w:val="00441096"/>
    <w:rsid w:val="00444D2B"/>
    <w:rsid w:val="0046252C"/>
    <w:rsid w:val="004656C4"/>
    <w:rsid w:val="004B3285"/>
    <w:rsid w:val="00536C0C"/>
    <w:rsid w:val="005818EB"/>
    <w:rsid w:val="005938BF"/>
    <w:rsid w:val="005E0F26"/>
    <w:rsid w:val="005E0FE5"/>
    <w:rsid w:val="006256B7"/>
    <w:rsid w:val="00637445"/>
    <w:rsid w:val="00646BC0"/>
    <w:rsid w:val="006533D8"/>
    <w:rsid w:val="00654ECA"/>
    <w:rsid w:val="006C40A4"/>
    <w:rsid w:val="006E14A9"/>
    <w:rsid w:val="00733608"/>
    <w:rsid w:val="0080236A"/>
    <w:rsid w:val="0080773D"/>
    <w:rsid w:val="00842C36"/>
    <w:rsid w:val="008A5E53"/>
    <w:rsid w:val="008F64F5"/>
    <w:rsid w:val="00931B33"/>
    <w:rsid w:val="00967A99"/>
    <w:rsid w:val="00984A4C"/>
    <w:rsid w:val="009A2D16"/>
    <w:rsid w:val="009A45ED"/>
    <w:rsid w:val="009E0A8A"/>
    <w:rsid w:val="00A06DBB"/>
    <w:rsid w:val="00A221B9"/>
    <w:rsid w:val="00A36AB8"/>
    <w:rsid w:val="00A55088"/>
    <w:rsid w:val="00A90C0F"/>
    <w:rsid w:val="00AF1A0C"/>
    <w:rsid w:val="00B11F0F"/>
    <w:rsid w:val="00C76E02"/>
    <w:rsid w:val="00C852B9"/>
    <w:rsid w:val="00CE520A"/>
    <w:rsid w:val="00D00ED4"/>
    <w:rsid w:val="00D35583"/>
    <w:rsid w:val="00D7490A"/>
    <w:rsid w:val="00D82CF3"/>
    <w:rsid w:val="00D910FD"/>
    <w:rsid w:val="00DC2C06"/>
    <w:rsid w:val="00DD3216"/>
    <w:rsid w:val="00E354CF"/>
    <w:rsid w:val="00E44513"/>
    <w:rsid w:val="00E46748"/>
    <w:rsid w:val="00E7171D"/>
    <w:rsid w:val="00ED5299"/>
    <w:rsid w:val="00F82F4D"/>
    <w:rsid w:val="00F96BCF"/>
    <w:rsid w:val="00FA11B3"/>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8296E539-2B5E-4513-9AFA-F4F2464C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19</Pages>
  <Words>4078</Words>
  <Characters>23249</Characters>
  <Application>Microsoft Office Word</Application>
  <DocSecurity>0</DocSecurity>
  <Lines>567</Lines>
  <Paragraphs>262</Paragraphs>
  <ScaleCrop>false</ScaleCrop>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dc:title>
  <dc:subject>Seminar: Programme Introduction for Year 2 early career teachers</dc:subject>
  <dc:creator/>
  <cp:keywords/>
  <cp:lastModifiedBy>Rosie Jonas</cp:lastModifiedBy>
  <cp:revision>557</cp:revision>
  <dcterms:created xsi:type="dcterms:W3CDTF">2024-09-27T16:54:00Z</dcterms:created>
  <dcterms:modified xsi:type="dcterms:W3CDTF">2026-04-27T13:24:00Z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