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4456801F" w:rsidR="00403260" w:rsidRDefault="003A2D9D">
          <w:r>
            <w:rPr>
              <w:noProof/>
            </w:rPr>
            <mc:AlternateContent>
              <mc:Choice Requires="wpg">
                <w:drawing>
                  <wp:anchor distT="0" distB="0" distL="114300" distR="114300" simplePos="0" relativeHeight="251658240" behindDoc="1" locked="0" layoutInCell="1" allowOverlap="1" wp14:anchorId="28258219" wp14:editId="0E3A53EA">
                    <wp:simplePos x="0" y="0"/>
                    <wp:positionH relativeFrom="column">
                      <wp:posOffset>-935874</wp:posOffset>
                    </wp:positionH>
                    <wp:positionV relativeFrom="paragraph">
                      <wp:posOffset>-1019810</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EA616E" id="Group 17" o:spid="_x0000_s1026" alt="&quot;&quot;" style="position:absolute;margin-left:-73.7pt;margin-top:-80.3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l1kr&#10;jeQAAAAOAQAADwAAAAAAAAAAAAAAAACoPQAAZHJzL2Rvd25yZXYueG1sUEsBAi0AFAAGAAgAAAAh&#10;ACJWDu7HAAAApQEAABkAAAAAAAAAAAAAAAAAuT4AAGRycy9fcmVscy9lMm9Eb2MueG1sLnJlbHNQ&#10;SwUGAAAAAAcABwC+AQAAtz8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vertAnchor="page" w:horzAnchor="margin" w:tblpXSpec="center" w:tblpY="472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27641D">
            <w:trPr>
              <w:trHeight w:val="311"/>
            </w:trPr>
            <w:tc>
              <w:tcPr>
                <w:tcW w:w="8616" w:type="dxa"/>
                <w:tcMar>
                  <w:top w:w="216" w:type="dxa"/>
                  <w:left w:w="115" w:type="dxa"/>
                  <w:bottom w:w="216" w:type="dxa"/>
                  <w:right w:w="115" w:type="dxa"/>
                </w:tcMar>
              </w:tcPr>
              <w:p w14:paraId="7ECB7091" w14:textId="26090D78" w:rsidR="00C016C4" w:rsidRPr="00D74D5B" w:rsidRDefault="00C016C4" w:rsidP="0027641D">
                <w:pPr>
                  <w:pStyle w:val="NoSpacing"/>
                  <w:rPr>
                    <w:color w:val="007559" w:themeColor="accent1"/>
                    <w:sz w:val="24"/>
                  </w:rPr>
                </w:pPr>
              </w:p>
            </w:tc>
          </w:tr>
          <w:tr w:rsidR="00C016C4" w:rsidRPr="00D74D5B" w14:paraId="58183F8E" w14:textId="77777777" w:rsidTr="0027641D">
            <w:trPr>
              <w:trHeight w:val="1928"/>
            </w:trPr>
            <w:tc>
              <w:tcPr>
                <w:tcW w:w="8616" w:type="dxa"/>
              </w:tcPr>
              <w:bookmarkStart w:id="0" w:name="_Hlk160787509" w:displacedByCustomXml="next"/>
              <w:sdt>
                <w:sdtPr>
                  <w:rPr>
                    <w:rFonts w:asciiTheme="majorHAnsi" w:eastAsiaTheme="majorEastAsia" w:hAnsiTheme="majorHAnsi" w:cstheme="majorBidi"/>
                    <w:b/>
                    <w:bCs/>
                    <w:color w:val="007559" w:themeColor="accent1"/>
                    <w:sz w:val="56"/>
                    <w:szCs w:val="56"/>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146072A5" w:rsidR="00C016C4" w:rsidRPr="00D74D5B" w:rsidRDefault="009424F3" w:rsidP="0027641D">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56"/>
                        <w:szCs w:val="56"/>
                      </w:rPr>
                      <w:t xml:space="preserve">ECT Programme Y2 Mentor </w:t>
                    </w:r>
                    <w:r w:rsidR="00913E00">
                      <w:rPr>
                        <w:rFonts w:asciiTheme="majorHAnsi" w:eastAsiaTheme="majorEastAsia" w:hAnsiTheme="majorHAnsi" w:cstheme="majorBidi"/>
                        <w:b/>
                        <w:bCs/>
                        <w:color w:val="007559" w:themeColor="accent1"/>
                        <w:sz w:val="56"/>
                        <w:szCs w:val="56"/>
                      </w:rPr>
                      <w:t>M</w:t>
                    </w:r>
                    <w:r>
                      <w:rPr>
                        <w:rFonts w:asciiTheme="majorHAnsi" w:eastAsiaTheme="majorEastAsia" w:hAnsiTheme="majorHAnsi" w:cstheme="majorBidi"/>
                        <w:b/>
                        <w:bCs/>
                        <w:color w:val="007559" w:themeColor="accent1"/>
                        <w:sz w:val="56"/>
                        <w:szCs w:val="56"/>
                      </w:rPr>
                      <w:t>aterials</w:t>
                    </w:r>
                  </w:p>
                </w:sdtContent>
              </w:sdt>
              <w:bookmarkEnd w:id="0" w:displacedByCustomXml="prev"/>
            </w:tc>
          </w:tr>
          <w:tr w:rsidR="00C016C4" w:rsidRPr="00D74D5B" w14:paraId="1A2F18B0" w14:textId="77777777" w:rsidTr="0027641D">
            <w:trPr>
              <w:trHeight w:val="794"/>
            </w:trPr>
            <w:bookmarkStart w:id="1" w:name="_Hlk160787529" w:displacedByCustomXml="next"/>
            <w:sdt>
              <w:sdtPr>
                <w:rPr>
                  <w:b/>
                  <w:bCs/>
                  <w:color w:val="007559" w:themeColor="accent1"/>
                  <w:sz w:val="56"/>
                  <w:szCs w:val="56"/>
                </w:rPr>
                <w:alias w:val="Subtitle"/>
                <w:id w:val="1901627311"/>
                <w:placeholder>
                  <w:docPart w:val="558A6B13ECDA44FBB611E3203DA1F554"/>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2B0F8173" w:rsidR="00C016C4" w:rsidRPr="00D74D5B" w:rsidRDefault="000173C8" w:rsidP="0027641D">
                    <w:pPr>
                      <w:pStyle w:val="NoSpacing"/>
                      <w:jc w:val="left"/>
                      <w:rPr>
                        <w:b/>
                        <w:bCs/>
                        <w:color w:val="007559" w:themeColor="accent1"/>
                        <w:sz w:val="24"/>
                      </w:rPr>
                    </w:pPr>
                    <w:r>
                      <w:rPr>
                        <w:b/>
                        <w:bCs/>
                        <w:color w:val="007559" w:themeColor="accent1"/>
                        <w:sz w:val="56"/>
                        <w:szCs w:val="56"/>
                      </w:rPr>
                      <w:t>Subject and curriculum</w:t>
                    </w:r>
                  </w:p>
                </w:tc>
              </w:sdtContent>
            </w:sdt>
            <w:bookmarkEnd w:id="1" w:displacedByCustomXml="prev"/>
          </w:tr>
          <w:tr w:rsidR="00685BBB" w:rsidRPr="00D74D5B" w14:paraId="6890D8A3" w14:textId="77777777" w:rsidTr="0027641D">
            <w:trPr>
              <w:trHeight w:val="14"/>
            </w:trPr>
            <w:tc>
              <w:tcPr>
                <w:tcW w:w="8616" w:type="dxa"/>
                <w:tcMar>
                  <w:top w:w="216" w:type="dxa"/>
                  <w:left w:w="115" w:type="dxa"/>
                  <w:bottom w:w="216" w:type="dxa"/>
                  <w:right w:w="115" w:type="dxa"/>
                </w:tcMar>
              </w:tcPr>
              <w:p w14:paraId="785C9557" w14:textId="3A536D6E" w:rsidR="00620687" w:rsidRDefault="00620687" w:rsidP="00620687">
                <w:pPr>
                  <w:pStyle w:val="NoSpacing"/>
                  <w:jc w:val="left"/>
                  <w:rPr>
                    <w:color w:val="007559" w:themeColor="accent1"/>
                    <w:sz w:val="28"/>
                    <w:szCs w:val="28"/>
                  </w:rPr>
                </w:pPr>
                <w:r w:rsidRPr="0067655F">
                  <w:rPr>
                    <w:color w:val="007559" w:themeColor="accent1"/>
                    <w:sz w:val="28"/>
                    <w:szCs w:val="28"/>
                  </w:rPr>
                  <w:t xml:space="preserve">These </w:t>
                </w:r>
                <w:r w:rsidR="004505F9" w:rsidRPr="004505F9">
                  <w:rPr>
                    <w:b/>
                    <w:bCs/>
                    <w:color w:val="007559" w:themeColor="accent1"/>
                    <w:sz w:val="28"/>
                    <w:szCs w:val="28"/>
                  </w:rPr>
                  <w:t>optional</w:t>
                </w:r>
                <w:r w:rsidR="004505F9">
                  <w:rPr>
                    <w:color w:val="007559" w:themeColor="accent1"/>
                    <w:sz w:val="28"/>
                    <w:szCs w:val="28"/>
                  </w:rPr>
                  <w:t xml:space="preserve"> </w:t>
                </w:r>
                <w:r w:rsidRPr="0067655F">
                  <w:rPr>
                    <w:color w:val="007559" w:themeColor="accent1"/>
                    <w:sz w:val="28"/>
                    <w:szCs w:val="28"/>
                  </w:rPr>
                  <w:t xml:space="preserve">self-study materials are intended for use as part of a school-led </w:t>
                </w:r>
                <w:r>
                  <w:rPr>
                    <w:color w:val="007559" w:themeColor="accent1"/>
                    <w:sz w:val="28"/>
                    <w:szCs w:val="28"/>
                  </w:rPr>
                  <w:t xml:space="preserve">early career teacher programme. They are </w:t>
                </w:r>
                <w:r w:rsidRPr="00E9438E">
                  <w:rPr>
                    <w:color w:val="007559" w:themeColor="accent1"/>
                    <w:sz w:val="28"/>
                    <w:szCs w:val="28"/>
                  </w:rPr>
                  <w:t>for mentors working with early career teacher</w:t>
                </w:r>
                <w:r>
                  <w:rPr>
                    <w:color w:val="007559" w:themeColor="accent1"/>
                    <w:sz w:val="28"/>
                    <w:szCs w:val="28"/>
                  </w:rPr>
                  <w:t>s</w:t>
                </w:r>
                <w:r w:rsidRPr="00E9438E">
                  <w:rPr>
                    <w:color w:val="007559" w:themeColor="accent1"/>
                    <w:sz w:val="28"/>
                    <w:szCs w:val="28"/>
                  </w:rPr>
                  <w:t xml:space="preserve"> in their 2</w:t>
                </w:r>
                <w:r w:rsidRPr="00E9438E">
                  <w:rPr>
                    <w:color w:val="007559" w:themeColor="accent1"/>
                    <w:sz w:val="28"/>
                    <w:szCs w:val="28"/>
                    <w:vertAlign w:val="superscript"/>
                  </w:rPr>
                  <w:t>nd</w:t>
                </w:r>
                <w:r w:rsidRPr="00E9438E">
                  <w:rPr>
                    <w:color w:val="007559" w:themeColor="accent1"/>
                    <w:sz w:val="28"/>
                    <w:szCs w:val="28"/>
                  </w:rPr>
                  <w:t xml:space="preserve"> year of the </w:t>
                </w:r>
                <w:r>
                  <w:rPr>
                    <w:color w:val="007559" w:themeColor="accent1"/>
                    <w:sz w:val="28"/>
                    <w:szCs w:val="28"/>
                  </w:rPr>
                  <w:t>p</w:t>
                </w:r>
                <w:r w:rsidRPr="00E9438E">
                  <w:rPr>
                    <w:color w:val="007559" w:themeColor="accent1"/>
                    <w:sz w:val="28"/>
                    <w:szCs w:val="28"/>
                  </w:rPr>
                  <w:t xml:space="preserve">rogramme. </w:t>
                </w:r>
              </w:p>
              <w:p w14:paraId="12DA1C0D" w14:textId="77777777" w:rsidR="00620687" w:rsidRDefault="00620687" w:rsidP="00620687">
                <w:pPr>
                  <w:pStyle w:val="NoSpacing"/>
                  <w:jc w:val="left"/>
                  <w:rPr>
                    <w:color w:val="007559" w:themeColor="accent1"/>
                    <w:sz w:val="28"/>
                    <w:szCs w:val="28"/>
                  </w:rPr>
                </w:pPr>
              </w:p>
              <w:p w14:paraId="5472D27F" w14:textId="77777777" w:rsidR="00620687" w:rsidRPr="00E9438E" w:rsidRDefault="00620687" w:rsidP="00620687">
                <w:pPr>
                  <w:pStyle w:val="NoSpacing"/>
                  <w:jc w:val="left"/>
                  <w:rPr>
                    <w:color w:val="007559" w:themeColor="accent1"/>
                    <w:sz w:val="28"/>
                    <w:szCs w:val="28"/>
                  </w:rPr>
                </w:pPr>
                <w:r w:rsidRPr="00E9438E">
                  <w:rPr>
                    <w:color w:val="007559" w:themeColor="accent1"/>
                    <w:sz w:val="28"/>
                    <w:szCs w:val="28"/>
                  </w:rPr>
                  <w:t xml:space="preserve">They provide an overview of the ECT self-study content along with a framework to guide the fortnightly mentoring meetings.  </w:t>
                </w:r>
              </w:p>
              <w:p w14:paraId="54023FAE" w14:textId="77777777" w:rsidR="00620687" w:rsidRPr="00E9438E" w:rsidRDefault="00620687" w:rsidP="00620687">
                <w:pPr>
                  <w:pStyle w:val="NoSpacing"/>
                  <w:jc w:val="left"/>
                  <w:rPr>
                    <w:color w:val="007559" w:themeColor="accent1"/>
                    <w:sz w:val="28"/>
                    <w:szCs w:val="28"/>
                  </w:rPr>
                </w:pPr>
              </w:p>
              <w:p w14:paraId="7551E57A" w14:textId="77777777" w:rsidR="00620687" w:rsidRPr="00E9438E" w:rsidRDefault="00620687" w:rsidP="00620687">
                <w:pPr>
                  <w:pStyle w:val="NoSpacing"/>
                  <w:jc w:val="left"/>
                  <w:rPr>
                    <w:color w:val="007559" w:themeColor="accent1"/>
                    <w:sz w:val="28"/>
                    <w:szCs w:val="28"/>
                  </w:rPr>
                </w:pPr>
                <w:r>
                  <w:rPr>
                    <w:color w:val="007559" w:themeColor="accent1"/>
                    <w:sz w:val="28"/>
                    <w:szCs w:val="28"/>
                  </w:rPr>
                  <w:t xml:space="preserve">Approximate time to complete: 15 minutes   </w:t>
                </w:r>
              </w:p>
              <w:p w14:paraId="2E7B5F74" w14:textId="0BA46FEA" w:rsidR="009A082F" w:rsidRPr="00E9438E" w:rsidRDefault="009A082F" w:rsidP="00D76642">
                <w:pPr>
                  <w:pStyle w:val="NoSpacing"/>
                  <w:jc w:val="left"/>
                  <w:rPr>
                    <w:color w:val="007559" w:themeColor="accent1"/>
                    <w:sz w:val="28"/>
                    <w:szCs w:val="28"/>
                  </w:rPr>
                </w:pPr>
              </w:p>
              <w:p w14:paraId="0B5F7825" w14:textId="49419310" w:rsidR="009A082F" w:rsidRPr="00685BBB" w:rsidRDefault="009A082F" w:rsidP="00D76642">
                <w:pPr>
                  <w:pStyle w:val="NoSpacing"/>
                  <w:jc w:val="left"/>
                  <w:rPr>
                    <w:b/>
                    <w:bCs/>
                    <w:color w:val="007559" w:themeColor="accent1"/>
                    <w:sz w:val="32"/>
                    <w:szCs w:val="32"/>
                  </w:rPr>
                </w:pPr>
              </w:p>
            </w:tc>
          </w:tr>
        </w:tbl>
        <w:p w14:paraId="0FE3E4BE" w14:textId="3FEE05C9" w:rsidR="00595E20" w:rsidRDefault="00595E20">
          <w:r>
            <w:rPr>
              <w:noProof/>
            </w:rPr>
            <w:drawing>
              <wp:anchor distT="0" distB="0" distL="114300" distR="114300" simplePos="0" relativeHeight="251658243" behindDoc="0" locked="0" layoutInCell="1" allowOverlap="1" wp14:anchorId="0E4EE15D" wp14:editId="02BC5C9F">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p w14:paraId="769F3E83" w14:textId="046F5B0F" w:rsidR="007D4E86" w:rsidRDefault="0008498C">
      <w:pPr>
        <w:spacing w:before="0" w:after="200"/>
        <w:jc w:val="both"/>
        <w:rPr>
          <w:rStyle w:val="HeadingChar"/>
          <w:b w:val="0"/>
          <w:bCs w:val="0"/>
        </w:rPr>
      </w:pPr>
      <w:r w:rsidRPr="00DD3BAE">
        <w:rPr>
          <w:noProof/>
        </w:rPr>
        <w:drawing>
          <wp:anchor distT="0" distB="0" distL="114300" distR="114300" simplePos="0" relativeHeight="251658241" behindDoc="0" locked="0" layoutInCell="1" allowOverlap="1" wp14:anchorId="7497DBF9" wp14:editId="35AF105F">
            <wp:simplePos x="0" y="0"/>
            <wp:positionH relativeFrom="column">
              <wp:posOffset>-937260</wp:posOffset>
            </wp:positionH>
            <wp:positionV relativeFrom="paragraph">
              <wp:posOffset>5641232</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Pr>
          <w:rStyle w:val="HeadingChar"/>
          <w:b w:val="0"/>
          <w:bCs w:val="0"/>
        </w:rPr>
        <w:br w:type="page"/>
      </w:r>
    </w:p>
    <w:p w14:paraId="4B940572" w14:textId="77777777" w:rsidR="003D50EE" w:rsidRDefault="003D50EE" w:rsidP="003D50EE">
      <w:pPr>
        <w:pStyle w:val="Heading"/>
        <w:rPr>
          <w:rStyle w:val="HeadingChar"/>
          <w:b/>
          <w:bCs/>
        </w:rPr>
      </w:pPr>
      <w:bookmarkStart w:id="2" w:name="Overview"/>
      <w:r>
        <w:rPr>
          <w:rStyle w:val="HeadingChar"/>
          <w:b/>
          <w:bCs/>
        </w:rPr>
        <w:lastRenderedPageBreak/>
        <w:t>How to use these materials</w:t>
      </w:r>
    </w:p>
    <w:bookmarkEnd w:id="2"/>
    <w:p w14:paraId="37285327" w14:textId="651396E8" w:rsidR="00BF6C3F" w:rsidRDefault="00BF6C3F" w:rsidP="00BF6C3F">
      <w:r w:rsidRPr="003403C8">
        <w:t>In the second year of the E</w:t>
      </w:r>
      <w:r w:rsidR="004631B1">
        <w:t>arly Career Teacher (E</w:t>
      </w:r>
      <w:r w:rsidRPr="003403C8">
        <w:t>C</w:t>
      </w:r>
      <w:r>
        <w:t>T</w:t>
      </w:r>
      <w:r w:rsidR="004631B1">
        <w:t>)</w:t>
      </w:r>
      <w:r w:rsidRPr="003403C8">
        <w:t xml:space="preserve"> programme, </w:t>
      </w:r>
      <w:r>
        <w:t xml:space="preserve">as a </w:t>
      </w:r>
      <w:r w:rsidRPr="003403C8">
        <w:t>mentor</w:t>
      </w:r>
      <w:r>
        <w:t>, you</w:t>
      </w:r>
      <w:r w:rsidRPr="003403C8">
        <w:t xml:space="preserve"> </w:t>
      </w:r>
      <w:r>
        <w:t xml:space="preserve">continue to </w:t>
      </w:r>
      <w:r w:rsidRPr="003403C8">
        <w:t xml:space="preserve">play a pivotal role in guiding </w:t>
      </w:r>
      <w:r w:rsidR="000A142E">
        <w:t>your ECT towards</w:t>
      </w:r>
      <w:r w:rsidRPr="003403C8">
        <w:t xml:space="preserve"> self-directed professional growth. </w:t>
      </w:r>
    </w:p>
    <w:p w14:paraId="65A64D5C" w14:textId="6142B064" w:rsidR="007A43E9" w:rsidRDefault="007A43E9" w:rsidP="006C688F">
      <w:r>
        <w:t>Th</w:t>
      </w:r>
      <w:r w:rsidR="003D50EE">
        <w:t>is</w:t>
      </w:r>
      <w:r>
        <w:t xml:space="preserve"> material</w:t>
      </w:r>
      <w:r w:rsidR="003D50EE">
        <w:t xml:space="preserve"> for mentors</w:t>
      </w:r>
      <w:r w:rsidR="00503A5E">
        <w:t xml:space="preserve"> </w:t>
      </w:r>
      <w:r w:rsidR="003D50EE">
        <w:t>has</w:t>
      </w:r>
      <w:r w:rsidR="00503A5E">
        <w:t xml:space="preserve"> 3 sections</w:t>
      </w:r>
      <w:r w:rsidR="002E6F84">
        <w:t xml:space="preserve">. </w:t>
      </w:r>
      <w:r w:rsidR="003E1547">
        <w:t>They include</w:t>
      </w:r>
      <w:r w:rsidR="00503A5E">
        <w:t xml:space="preserve">: </w:t>
      </w:r>
    </w:p>
    <w:p w14:paraId="5CEEB7B8" w14:textId="2093063F" w:rsidR="00503A5E" w:rsidRPr="0030769B" w:rsidRDefault="003E1547" w:rsidP="00503A5E">
      <w:pPr>
        <w:pStyle w:val="ListParagraph"/>
        <w:numPr>
          <w:ilvl w:val="0"/>
          <w:numId w:val="14"/>
        </w:numPr>
      </w:pPr>
      <w:r w:rsidRPr="00673EF0">
        <w:rPr>
          <w:b/>
          <w:bCs/>
        </w:rPr>
        <w:t>Section 1</w:t>
      </w:r>
      <w:r w:rsidRPr="0030769B">
        <w:t xml:space="preserve">: </w:t>
      </w:r>
      <w:r w:rsidR="00A44C6A" w:rsidRPr="0030769B">
        <w:t xml:space="preserve">Review of ECT materials </w:t>
      </w:r>
    </w:p>
    <w:p w14:paraId="502B0AAE" w14:textId="77777777" w:rsidR="00673EF0" w:rsidRDefault="00673EF0" w:rsidP="00673EF0">
      <w:pPr>
        <w:pStyle w:val="ListParagraph"/>
        <w:numPr>
          <w:ilvl w:val="1"/>
          <w:numId w:val="16"/>
        </w:numPr>
      </w:pPr>
      <w:r>
        <w:t xml:space="preserve">Recapping the theory </w:t>
      </w:r>
    </w:p>
    <w:p w14:paraId="53606DA5" w14:textId="50879F50" w:rsidR="00A44C6A" w:rsidRDefault="00A44C6A" w:rsidP="00673EF0">
      <w:pPr>
        <w:pStyle w:val="ListParagraph"/>
        <w:numPr>
          <w:ilvl w:val="1"/>
          <w:numId w:val="16"/>
        </w:numPr>
      </w:pPr>
      <w:r>
        <w:t xml:space="preserve">Summary of research </w:t>
      </w:r>
      <w:r w:rsidR="00AD0BFE">
        <w:t>papers</w:t>
      </w:r>
      <w:r w:rsidR="00673EF0">
        <w:t xml:space="preserve"> and suggested action steps</w:t>
      </w:r>
    </w:p>
    <w:p w14:paraId="2BE487C1" w14:textId="38CB98CA" w:rsidR="002E6F84" w:rsidRPr="00673EF0" w:rsidRDefault="003E1547" w:rsidP="002E6F84">
      <w:pPr>
        <w:pStyle w:val="ListParagraph"/>
        <w:numPr>
          <w:ilvl w:val="0"/>
          <w:numId w:val="14"/>
        </w:numPr>
      </w:pPr>
      <w:r w:rsidRPr="00673EF0">
        <w:rPr>
          <w:b/>
          <w:bCs/>
        </w:rPr>
        <w:t xml:space="preserve">Section 2: </w:t>
      </w:r>
      <w:r w:rsidRPr="00673EF0">
        <w:t>Overview of the half-termly programme structure using the Personal Professional Development Cycle</w:t>
      </w:r>
    </w:p>
    <w:p w14:paraId="1891356A" w14:textId="6C8F1016" w:rsidR="003E1547" w:rsidRDefault="003E1547" w:rsidP="003E1547">
      <w:pPr>
        <w:pStyle w:val="ListParagraph"/>
        <w:numPr>
          <w:ilvl w:val="0"/>
          <w:numId w:val="12"/>
        </w:numPr>
      </w:pPr>
      <w:r w:rsidRPr="00673EF0">
        <w:rPr>
          <w:b/>
          <w:bCs/>
        </w:rPr>
        <w:t>Section 3:</w:t>
      </w:r>
      <w:r>
        <w:t xml:space="preserve"> Step by step guidance to plan and complete your fortnightly meetings with your ECT</w:t>
      </w:r>
    </w:p>
    <w:p w14:paraId="5BF2E89F" w14:textId="77777777" w:rsidR="00AA3F18" w:rsidRDefault="00AA3F18" w:rsidP="00AA3F18"/>
    <w:tbl>
      <w:tblPr>
        <w:tblStyle w:val="TableGrid"/>
        <w:tblW w:w="0" w:type="auto"/>
        <w:tblLook w:val="04A0" w:firstRow="1" w:lastRow="0" w:firstColumn="1" w:lastColumn="0" w:noHBand="0" w:noVBand="1"/>
      </w:tblPr>
      <w:tblGrid>
        <w:gridCol w:w="7508"/>
        <w:gridCol w:w="1506"/>
      </w:tblGrid>
      <w:tr w:rsidR="00AA3F18" w:rsidRPr="004D2E4E" w14:paraId="62D38EE8" w14:textId="77777777">
        <w:trPr>
          <w:trHeight w:val="454"/>
        </w:trPr>
        <w:tc>
          <w:tcPr>
            <w:tcW w:w="7508" w:type="dxa"/>
            <w:shd w:val="clear" w:color="auto" w:fill="004B62" w:themeFill="text1"/>
            <w:vAlign w:val="center"/>
          </w:tcPr>
          <w:p w14:paraId="10D308B6" w14:textId="77777777" w:rsidR="00AA3F18" w:rsidRPr="004D2E4E" w:rsidRDefault="00AA3F18">
            <w:pPr>
              <w:spacing w:line="276" w:lineRule="auto"/>
              <w:jc w:val="center"/>
              <w:rPr>
                <w:rFonts w:ascii="Tahoma" w:hAnsi="Tahoma" w:cs="Tahoma"/>
                <w:b/>
                <w:bCs/>
                <w:color w:val="FFFFFF" w:themeColor="background1"/>
                <w:szCs w:val="24"/>
              </w:rPr>
            </w:pPr>
            <w:bookmarkStart w:id="3" w:name="Content"/>
            <w:r w:rsidRPr="004D2E4E">
              <w:rPr>
                <w:rFonts w:ascii="Tahoma" w:hAnsi="Tahoma" w:cs="Tahoma"/>
                <w:b/>
                <w:bCs/>
                <w:color w:val="FFFFFF" w:themeColor="background1"/>
                <w:szCs w:val="24"/>
              </w:rPr>
              <w:t>Content</w:t>
            </w:r>
            <w:bookmarkEnd w:id="3"/>
          </w:p>
        </w:tc>
        <w:tc>
          <w:tcPr>
            <w:tcW w:w="1506" w:type="dxa"/>
            <w:shd w:val="clear" w:color="auto" w:fill="004B62" w:themeFill="text1"/>
            <w:vAlign w:val="center"/>
          </w:tcPr>
          <w:p w14:paraId="0B01E5A5" w14:textId="53CE541D" w:rsidR="00AA3F18" w:rsidRPr="00877B69" w:rsidRDefault="00877B69">
            <w:pPr>
              <w:spacing w:line="276" w:lineRule="auto"/>
              <w:jc w:val="center"/>
              <w:rPr>
                <w:rFonts w:ascii="Tahoma" w:hAnsi="Tahoma" w:cs="Tahoma"/>
                <w:b/>
                <w:bCs/>
                <w:color w:val="FFFFFF" w:themeColor="background1"/>
                <w:szCs w:val="24"/>
              </w:rPr>
            </w:pPr>
            <w:r w:rsidRPr="00877B69">
              <w:rPr>
                <w:rFonts w:ascii="Tahoma" w:hAnsi="Tahoma" w:cs="Tahoma"/>
                <w:b/>
                <w:bCs/>
                <w:color w:val="FFFFFF" w:themeColor="background1"/>
                <w:szCs w:val="24"/>
              </w:rPr>
              <w:t>Page</w:t>
            </w:r>
          </w:p>
        </w:tc>
      </w:tr>
      <w:tr w:rsidR="00AA3F18" w:rsidRPr="004D2E4E" w14:paraId="038F11B9" w14:textId="77777777">
        <w:trPr>
          <w:trHeight w:val="454"/>
        </w:trPr>
        <w:tc>
          <w:tcPr>
            <w:tcW w:w="7508" w:type="dxa"/>
            <w:shd w:val="clear" w:color="auto" w:fill="00698A" w:themeFill="text1" w:themeFillTint="E6"/>
            <w:vAlign w:val="center"/>
          </w:tcPr>
          <w:p w14:paraId="691E3B50" w14:textId="281B4427" w:rsidR="00AA3F18" w:rsidRPr="00E90EB3" w:rsidRDefault="00AA3F18">
            <w:pPr>
              <w:rPr>
                <w:rFonts w:ascii="Tahoma" w:hAnsi="Tahoma" w:cs="Tahoma"/>
                <w:b/>
                <w:bCs/>
                <w:color w:val="FFFFFF" w:themeColor="background1"/>
                <w:szCs w:val="24"/>
                <w:u w:val="single"/>
              </w:rPr>
            </w:pPr>
            <w:hyperlink w:anchor="Section1" w:history="1">
              <w:r w:rsidRPr="00826703">
                <w:rPr>
                  <w:rStyle w:val="Hyperlink"/>
                  <w:rFonts w:ascii="Tahoma" w:hAnsi="Tahoma" w:cs="Tahoma"/>
                  <w:b/>
                  <w:bCs/>
                  <w:color w:val="FFFFFF" w:themeColor="background1"/>
                  <w:szCs w:val="24"/>
                </w:rPr>
                <w:t>Section 1: Review of ECT materials</w:t>
              </w:r>
            </w:hyperlink>
            <w:r w:rsidRPr="00826703">
              <w:rPr>
                <w:rFonts w:ascii="Tahoma" w:hAnsi="Tahoma" w:cs="Tahoma"/>
                <w:b/>
                <w:bCs/>
                <w:color w:val="FFFFFF" w:themeColor="background1"/>
                <w:szCs w:val="24"/>
              </w:rPr>
              <w:t xml:space="preserve"> </w:t>
            </w:r>
          </w:p>
        </w:tc>
        <w:tc>
          <w:tcPr>
            <w:tcW w:w="1506" w:type="dxa"/>
            <w:shd w:val="clear" w:color="auto" w:fill="00698A" w:themeFill="text1" w:themeFillTint="E6"/>
            <w:vAlign w:val="center"/>
          </w:tcPr>
          <w:p w14:paraId="47D64E85" w14:textId="2D8D6D13" w:rsidR="00AA3F18" w:rsidRPr="00E90EB3" w:rsidRDefault="00AA3F18" w:rsidP="00877B69">
            <w:pPr>
              <w:jc w:val="both"/>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sidR="00877B69">
              <w:rPr>
                <w:rFonts w:ascii="Tahoma" w:hAnsi="Tahoma" w:cs="Tahoma"/>
                <w:b/>
                <w:bCs/>
                <w:color w:val="FFFFFF" w:themeColor="background1"/>
                <w:szCs w:val="24"/>
              </w:rPr>
              <w:t>3</w:t>
            </w:r>
          </w:p>
        </w:tc>
      </w:tr>
      <w:bookmarkStart w:id="4" w:name="Engagingwithresearch"/>
      <w:tr w:rsidR="00AA3F18" w:rsidRPr="004D2E4E" w14:paraId="4F0410B9" w14:textId="77777777">
        <w:trPr>
          <w:trHeight w:val="454"/>
        </w:trPr>
        <w:tc>
          <w:tcPr>
            <w:tcW w:w="7508" w:type="dxa"/>
            <w:shd w:val="clear" w:color="auto" w:fill="00698A" w:themeFill="text1" w:themeFillTint="E6"/>
            <w:vAlign w:val="center"/>
          </w:tcPr>
          <w:p w14:paraId="22A78BAC" w14:textId="79E20BA1" w:rsidR="00AA3F18" w:rsidRDefault="009303FB">
            <w:pPr>
              <w:rPr>
                <w:rFonts w:ascii="Tahoma" w:hAnsi="Tahoma" w:cs="Tahoma"/>
                <w:b/>
                <w:bCs/>
                <w:color w:val="FFFFFF" w:themeColor="background1"/>
                <w:szCs w:val="24"/>
                <w:u w:val="single"/>
              </w:rPr>
            </w:pPr>
            <w:r w:rsidRPr="007D50FA">
              <w:rPr>
                <w:rFonts w:ascii="Tahoma" w:hAnsi="Tahoma" w:cs="Tahoma"/>
                <w:b/>
                <w:bCs/>
                <w:color w:val="FFFFFF" w:themeColor="background1"/>
                <w:szCs w:val="24"/>
                <w:u w:val="single"/>
              </w:rPr>
              <w:fldChar w:fldCharType="begin"/>
            </w:r>
            <w:r w:rsidRPr="007D50FA">
              <w:rPr>
                <w:rFonts w:ascii="Tahoma" w:hAnsi="Tahoma" w:cs="Tahoma"/>
                <w:b/>
                <w:bCs/>
                <w:color w:val="FFFFFF" w:themeColor="background1"/>
                <w:szCs w:val="24"/>
                <w:u w:val="single"/>
              </w:rPr>
              <w:instrText>HYPERLINK  \l "Section2"</w:instrText>
            </w:r>
            <w:r w:rsidRPr="007D50FA">
              <w:rPr>
                <w:rFonts w:ascii="Tahoma" w:hAnsi="Tahoma" w:cs="Tahoma"/>
                <w:b/>
                <w:bCs/>
                <w:color w:val="FFFFFF" w:themeColor="background1"/>
                <w:szCs w:val="24"/>
                <w:u w:val="single"/>
              </w:rPr>
            </w:r>
            <w:r w:rsidRPr="007D50FA">
              <w:rPr>
                <w:rFonts w:ascii="Tahoma" w:hAnsi="Tahoma" w:cs="Tahoma"/>
                <w:b/>
                <w:bCs/>
                <w:color w:val="FFFFFF" w:themeColor="background1"/>
                <w:szCs w:val="24"/>
                <w:u w:val="single"/>
              </w:rPr>
              <w:fldChar w:fldCharType="separate"/>
            </w:r>
            <w:r w:rsidR="00AA3F18" w:rsidRPr="007D50FA">
              <w:rPr>
                <w:rStyle w:val="Hyperlink"/>
                <w:rFonts w:ascii="Tahoma" w:hAnsi="Tahoma" w:cs="Tahoma"/>
                <w:b/>
                <w:bCs/>
                <w:color w:val="FFFFFF" w:themeColor="background1"/>
                <w:szCs w:val="24"/>
              </w:rPr>
              <w:t>Section</w:t>
            </w:r>
            <w:r w:rsidRPr="007D50FA">
              <w:rPr>
                <w:rFonts w:ascii="Tahoma" w:hAnsi="Tahoma" w:cs="Tahoma"/>
                <w:b/>
                <w:bCs/>
                <w:color w:val="FFFFFF" w:themeColor="background1"/>
                <w:szCs w:val="24"/>
                <w:u w:val="single"/>
              </w:rPr>
              <w:fldChar w:fldCharType="end"/>
            </w:r>
            <w:r w:rsidR="00AA3F18">
              <w:rPr>
                <w:rFonts w:ascii="Tahoma" w:hAnsi="Tahoma" w:cs="Tahoma"/>
                <w:b/>
                <w:bCs/>
                <w:color w:val="FFFFFF" w:themeColor="background1"/>
                <w:szCs w:val="24"/>
                <w:u w:val="single"/>
              </w:rPr>
              <w:t xml:space="preserve"> 2: </w:t>
            </w:r>
            <w:bookmarkEnd w:id="4"/>
            <w:r w:rsidR="000D7A74">
              <w:rPr>
                <w:rFonts w:ascii="Tahoma" w:hAnsi="Tahoma" w:cs="Tahoma"/>
                <w:b/>
                <w:bCs/>
                <w:color w:val="FFFFFF" w:themeColor="background1"/>
                <w:szCs w:val="24"/>
                <w:u w:val="single"/>
              </w:rPr>
              <w:t xml:space="preserve">Overview of the Personal Professional Development Cycle </w:t>
            </w:r>
          </w:p>
        </w:tc>
        <w:tc>
          <w:tcPr>
            <w:tcW w:w="1506" w:type="dxa"/>
            <w:shd w:val="clear" w:color="auto" w:fill="00698A" w:themeFill="text1" w:themeFillTint="E6"/>
            <w:vAlign w:val="center"/>
          </w:tcPr>
          <w:p w14:paraId="10A6186F" w14:textId="72852B88" w:rsidR="00AA3F18" w:rsidRPr="00E90EB3" w:rsidRDefault="00AA3F18" w:rsidP="00877B69">
            <w:pPr>
              <w:jc w:val="both"/>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9303FB">
              <w:rPr>
                <w:rFonts w:ascii="Tahoma" w:hAnsi="Tahoma" w:cs="Tahoma"/>
                <w:b/>
                <w:bCs/>
                <w:color w:val="FFFFFF" w:themeColor="background1"/>
                <w:szCs w:val="24"/>
              </w:rPr>
              <w:t>1</w:t>
            </w:r>
            <w:r w:rsidR="00671696">
              <w:rPr>
                <w:rFonts w:ascii="Tahoma" w:hAnsi="Tahoma" w:cs="Tahoma"/>
                <w:b/>
                <w:bCs/>
                <w:color w:val="FFFFFF" w:themeColor="background1"/>
                <w:szCs w:val="24"/>
              </w:rPr>
              <w:t>1</w:t>
            </w:r>
          </w:p>
        </w:tc>
      </w:tr>
      <w:tr w:rsidR="00AA3F18" w:rsidRPr="004D2E4E" w14:paraId="1ED1DD87" w14:textId="77777777">
        <w:trPr>
          <w:trHeight w:val="454"/>
        </w:trPr>
        <w:tc>
          <w:tcPr>
            <w:tcW w:w="7508" w:type="dxa"/>
            <w:shd w:val="clear" w:color="auto" w:fill="00698A" w:themeFill="text1" w:themeFillTint="E6"/>
            <w:vAlign w:val="center"/>
          </w:tcPr>
          <w:p w14:paraId="77E0DD90" w14:textId="4EF8A778" w:rsidR="00AA3F18" w:rsidRPr="00EA7CE3" w:rsidRDefault="000D7A74" w:rsidP="000D7A74">
            <w:pPr>
              <w:pStyle w:val="Subheading"/>
              <w:rPr>
                <w:color w:val="FFFFFF" w:themeColor="background1"/>
              </w:rPr>
            </w:pPr>
            <w:hyperlink w:anchor="Section3" w:history="1">
              <w:r w:rsidRPr="00826703">
                <w:rPr>
                  <w:rStyle w:val="Hyperlink"/>
                  <w:color w:val="FFFFFF" w:themeColor="background1"/>
                </w:rPr>
                <w:t>Section 3: Preparing for your mentoring meeting</w:t>
              </w:r>
              <w:r w:rsidR="00826703" w:rsidRPr="00826703">
                <w:rPr>
                  <w:rStyle w:val="Hyperlink"/>
                  <w:color w:val="FFFFFF" w:themeColor="background1"/>
                </w:rPr>
                <w:t>s</w:t>
              </w:r>
            </w:hyperlink>
            <w:r w:rsidRPr="00826703">
              <w:rPr>
                <w:color w:val="FFFFFF" w:themeColor="background1"/>
              </w:rPr>
              <w:t xml:space="preserve"> </w:t>
            </w:r>
          </w:p>
        </w:tc>
        <w:tc>
          <w:tcPr>
            <w:tcW w:w="1506" w:type="dxa"/>
            <w:shd w:val="clear" w:color="auto" w:fill="00698A" w:themeFill="text1" w:themeFillTint="E6"/>
            <w:vAlign w:val="center"/>
          </w:tcPr>
          <w:p w14:paraId="08A0E084" w14:textId="3BDE2813" w:rsidR="00AA3F18" w:rsidRPr="00D0187C" w:rsidRDefault="00AA3F18" w:rsidP="00877B69">
            <w:pPr>
              <w:pStyle w:val="Subheading"/>
              <w:jc w:val="both"/>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Pr>
                <w:color w:val="FFFFFF" w:themeColor="background1"/>
                <w:shd w:val="clear" w:color="auto" w:fill="00698A" w:themeFill="text1" w:themeFillTint="E6"/>
              </w:rPr>
              <w:t>1</w:t>
            </w:r>
            <w:r w:rsidR="00671696">
              <w:rPr>
                <w:color w:val="FFFFFF" w:themeColor="background1"/>
                <w:shd w:val="clear" w:color="auto" w:fill="00698A" w:themeFill="text1" w:themeFillTint="E6"/>
              </w:rPr>
              <w:t>3</w:t>
            </w:r>
          </w:p>
        </w:tc>
      </w:tr>
      <w:tr w:rsidR="00AA3F18" w:rsidRPr="004D2E4E" w14:paraId="1EF64F5A" w14:textId="77777777" w:rsidTr="00877B69">
        <w:trPr>
          <w:trHeight w:val="454"/>
        </w:trPr>
        <w:tc>
          <w:tcPr>
            <w:tcW w:w="7508" w:type="dxa"/>
            <w:shd w:val="clear" w:color="auto" w:fill="FFFFFF" w:themeFill="background1"/>
            <w:vAlign w:val="center"/>
          </w:tcPr>
          <w:p w14:paraId="40688C46" w14:textId="4678CA54" w:rsidR="00AA3F18" w:rsidRPr="00877B69" w:rsidRDefault="00AA3F18">
            <w:pPr>
              <w:rPr>
                <w:color w:val="004B62" w:themeColor="text1"/>
              </w:rPr>
            </w:pPr>
            <w:hyperlink w:anchor="furtherreading" w:history="1">
              <w:r w:rsidRPr="00877B69">
                <w:rPr>
                  <w:rStyle w:val="Hyperlink"/>
                  <w:rFonts w:ascii="Tahoma" w:hAnsi="Tahoma" w:cs="Tahoma"/>
                  <w:b/>
                  <w:bCs/>
                  <w:color w:val="004B62" w:themeColor="text1"/>
                  <w:szCs w:val="24"/>
                </w:rPr>
                <w:t>Further reading and references</w:t>
              </w:r>
            </w:hyperlink>
          </w:p>
        </w:tc>
        <w:tc>
          <w:tcPr>
            <w:tcW w:w="1506" w:type="dxa"/>
            <w:vAlign w:val="center"/>
          </w:tcPr>
          <w:p w14:paraId="05DA337F" w14:textId="645F7B59" w:rsidR="00AA3F18" w:rsidRPr="00877B69" w:rsidRDefault="00877B69" w:rsidP="00877B69">
            <w:pPr>
              <w:jc w:val="both"/>
              <w:rPr>
                <w:rFonts w:ascii="Tahoma" w:hAnsi="Tahoma" w:cs="Tahoma"/>
                <w:color w:val="004B62" w:themeColor="text1"/>
                <w:szCs w:val="24"/>
              </w:rPr>
            </w:pPr>
            <w:r>
              <w:rPr>
                <w:b/>
                <w:bCs/>
                <w:color w:val="004B62" w:themeColor="text1"/>
              </w:rPr>
              <w:t>Page 1</w:t>
            </w:r>
            <w:r w:rsidR="002259CD">
              <w:rPr>
                <w:b/>
                <w:bCs/>
                <w:color w:val="004B62" w:themeColor="text1"/>
              </w:rPr>
              <w:t>6</w:t>
            </w:r>
          </w:p>
        </w:tc>
      </w:tr>
      <w:tr w:rsidR="00AA3F18" w:rsidRPr="004D2E4E" w14:paraId="491B7323" w14:textId="77777777" w:rsidTr="00877B69">
        <w:trPr>
          <w:trHeight w:val="454"/>
        </w:trPr>
        <w:tc>
          <w:tcPr>
            <w:tcW w:w="7508" w:type="dxa"/>
            <w:vAlign w:val="center"/>
          </w:tcPr>
          <w:p w14:paraId="6A4EFCB8" w14:textId="441AB688" w:rsidR="00AA3F18" w:rsidRPr="00877B69" w:rsidRDefault="00AA3F18">
            <w:pPr>
              <w:rPr>
                <w:b/>
                <w:bCs/>
                <w:color w:val="004B62" w:themeColor="text1"/>
              </w:rPr>
            </w:pPr>
            <w:hyperlink w:anchor="RelatedECFStatements" w:history="1">
              <w:r w:rsidRPr="00877B69">
                <w:rPr>
                  <w:rStyle w:val="Hyperlink"/>
                  <w:b/>
                  <w:bCs/>
                  <w:color w:val="004B62" w:themeColor="text1"/>
                </w:rPr>
                <w:t xml:space="preserve">Related </w:t>
              </w:r>
              <w:r w:rsidR="00826703" w:rsidRPr="00877B69">
                <w:rPr>
                  <w:rStyle w:val="Hyperlink"/>
                  <w:b/>
                  <w:bCs/>
                  <w:color w:val="004B62" w:themeColor="text1"/>
                </w:rPr>
                <w:t xml:space="preserve">ITTECF </w:t>
              </w:r>
              <w:r w:rsidRPr="00877B69">
                <w:rPr>
                  <w:rStyle w:val="Hyperlink"/>
                  <w:b/>
                  <w:bCs/>
                  <w:color w:val="004B62" w:themeColor="text1"/>
                </w:rPr>
                <w:t>statements</w:t>
              </w:r>
            </w:hyperlink>
          </w:p>
        </w:tc>
        <w:tc>
          <w:tcPr>
            <w:tcW w:w="1506" w:type="dxa"/>
            <w:vAlign w:val="center"/>
          </w:tcPr>
          <w:p w14:paraId="7342148E" w14:textId="6E00CD28" w:rsidR="00AA3F18" w:rsidRPr="00877B69" w:rsidRDefault="00877B69" w:rsidP="00877B69">
            <w:pPr>
              <w:jc w:val="both"/>
              <w:rPr>
                <w:b/>
                <w:bCs/>
                <w:color w:val="004B62" w:themeColor="text1"/>
              </w:rPr>
            </w:pPr>
            <w:r>
              <w:rPr>
                <w:b/>
                <w:bCs/>
                <w:color w:val="004B62" w:themeColor="text1"/>
              </w:rPr>
              <w:t xml:space="preserve">Page </w:t>
            </w:r>
            <w:r w:rsidR="007D50FA">
              <w:rPr>
                <w:b/>
                <w:bCs/>
                <w:color w:val="004B62" w:themeColor="text1"/>
              </w:rPr>
              <w:t>1</w:t>
            </w:r>
            <w:r w:rsidR="002259CD">
              <w:rPr>
                <w:b/>
                <w:bCs/>
                <w:color w:val="004B62" w:themeColor="text1"/>
              </w:rPr>
              <w:t>8</w:t>
            </w:r>
          </w:p>
        </w:tc>
      </w:tr>
      <w:tr w:rsidR="00AA3F18" w:rsidRPr="004D2E4E" w14:paraId="17E4879F" w14:textId="77777777" w:rsidTr="00877B69">
        <w:trPr>
          <w:trHeight w:val="454"/>
        </w:trPr>
        <w:tc>
          <w:tcPr>
            <w:tcW w:w="7508" w:type="dxa"/>
            <w:vAlign w:val="center"/>
          </w:tcPr>
          <w:p w14:paraId="3D1CE0C1" w14:textId="0118016D" w:rsidR="00AA3F18" w:rsidRPr="00877B69" w:rsidRDefault="00877B69">
            <w:pPr>
              <w:rPr>
                <w:b/>
                <w:bCs/>
                <w:color w:val="004B62" w:themeColor="text1"/>
              </w:rPr>
            </w:pPr>
            <w:hyperlink w:anchor="Appendix1" w:history="1">
              <w:r w:rsidRPr="00877B69">
                <w:rPr>
                  <w:rStyle w:val="Hyperlink"/>
                  <w:b/>
                  <w:bCs/>
                  <w:color w:val="004B62" w:themeColor="text1"/>
                </w:rPr>
                <w:t>Appendix 1: Suggested action steps</w:t>
              </w:r>
            </w:hyperlink>
          </w:p>
        </w:tc>
        <w:tc>
          <w:tcPr>
            <w:tcW w:w="1506" w:type="dxa"/>
            <w:vAlign w:val="center"/>
          </w:tcPr>
          <w:p w14:paraId="17E71A31" w14:textId="46033B8D" w:rsidR="00AA3F18" w:rsidRPr="00877B69" w:rsidRDefault="00AA3F18" w:rsidP="00877B69">
            <w:pPr>
              <w:jc w:val="both"/>
              <w:rPr>
                <w:b/>
                <w:bCs/>
                <w:color w:val="004B62" w:themeColor="text1"/>
              </w:rPr>
            </w:pPr>
            <w:r w:rsidRPr="00877B69">
              <w:rPr>
                <w:b/>
                <w:bCs/>
                <w:color w:val="004B62" w:themeColor="text1"/>
              </w:rPr>
              <w:t xml:space="preserve">Page </w:t>
            </w:r>
            <w:r w:rsidR="00877B69" w:rsidRPr="00877B69">
              <w:rPr>
                <w:b/>
                <w:bCs/>
                <w:color w:val="004B62" w:themeColor="text1"/>
              </w:rPr>
              <w:t>2</w:t>
            </w:r>
            <w:r w:rsidR="002259CD">
              <w:rPr>
                <w:b/>
                <w:bCs/>
                <w:color w:val="004B62" w:themeColor="text1"/>
              </w:rPr>
              <w:t>1</w:t>
            </w:r>
          </w:p>
        </w:tc>
      </w:tr>
      <w:tr w:rsidR="00AA3F18" w:rsidRPr="004D2E4E" w14:paraId="175A3F96" w14:textId="77777777" w:rsidTr="00877B69">
        <w:trPr>
          <w:trHeight w:val="454"/>
        </w:trPr>
        <w:tc>
          <w:tcPr>
            <w:tcW w:w="7508" w:type="dxa"/>
            <w:vAlign w:val="center"/>
          </w:tcPr>
          <w:p w14:paraId="15A66989" w14:textId="300C6B5B" w:rsidR="00AA3F18" w:rsidRPr="00877B69" w:rsidRDefault="00AA3F18" w:rsidP="00877B69">
            <w:pPr>
              <w:pStyle w:val="Heading"/>
              <w:rPr>
                <w:b w:val="0"/>
                <w:bCs w:val="0"/>
              </w:rPr>
            </w:pPr>
            <w:hyperlink w:anchor="Appendix2" w:history="1">
              <w:r w:rsidRPr="00877B69">
                <w:rPr>
                  <w:rStyle w:val="Hyperlink"/>
                  <w:color w:val="004B62" w:themeColor="text1"/>
                  <w:sz w:val="24"/>
                  <w:szCs w:val="24"/>
                </w:rPr>
                <w:t xml:space="preserve">Appendix 2: </w:t>
              </w:r>
              <w:r w:rsidR="00877B69" w:rsidRPr="00877B69">
                <w:rPr>
                  <w:rStyle w:val="Hyperlink"/>
                  <w:color w:val="004B62" w:themeColor="text1"/>
                  <w:sz w:val="24"/>
                  <w:szCs w:val="24"/>
                </w:rPr>
                <w:t>Levelling u</w:t>
              </w:r>
              <w:r w:rsidR="00877B69" w:rsidRPr="00877B69">
                <w:rPr>
                  <w:rStyle w:val="Hyperlink"/>
                  <w:color w:val="004B62" w:themeColor="text1"/>
                  <w:sz w:val="24"/>
                  <w:szCs w:val="24"/>
                </w:rPr>
                <w:t>p</w:t>
              </w:r>
              <w:r w:rsidR="00877B69" w:rsidRPr="00877B69">
                <w:rPr>
                  <w:rStyle w:val="Hyperlink"/>
                  <w:color w:val="004B62" w:themeColor="text1"/>
                  <w:sz w:val="24"/>
                  <w:szCs w:val="24"/>
                </w:rPr>
                <w:t xml:space="preserve"> your</w:t>
              </w:r>
              <w:r w:rsidRPr="00877B69">
                <w:rPr>
                  <w:rStyle w:val="Hyperlink"/>
                  <w:color w:val="004B62" w:themeColor="text1"/>
                  <w:sz w:val="24"/>
                  <w:szCs w:val="24"/>
                </w:rPr>
                <w:t xml:space="preserve"> action step</w:t>
              </w:r>
            </w:hyperlink>
          </w:p>
        </w:tc>
        <w:tc>
          <w:tcPr>
            <w:tcW w:w="1506" w:type="dxa"/>
            <w:vAlign w:val="center"/>
          </w:tcPr>
          <w:p w14:paraId="2C2B61F8" w14:textId="3E8C72F9" w:rsidR="00AA3F18" w:rsidRPr="00877B69" w:rsidRDefault="00AA3F18" w:rsidP="00877B69">
            <w:pPr>
              <w:jc w:val="both"/>
              <w:rPr>
                <w:b/>
                <w:bCs/>
                <w:color w:val="004B62" w:themeColor="text1"/>
              </w:rPr>
            </w:pPr>
            <w:r w:rsidRPr="00877B69">
              <w:rPr>
                <w:b/>
                <w:bCs/>
                <w:color w:val="004B62" w:themeColor="text1"/>
              </w:rPr>
              <w:t xml:space="preserve">Page </w:t>
            </w:r>
            <w:r w:rsidR="007567F1">
              <w:rPr>
                <w:b/>
                <w:bCs/>
                <w:color w:val="004B62" w:themeColor="text1"/>
              </w:rPr>
              <w:t>2</w:t>
            </w:r>
            <w:r w:rsidR="002259CD">
              <w:rPr>
                <w:b/>
                <w:bCs/>
                <w:color w:val="004B62" w:themeColor="text1"/>
              </w:rPr>
              <w:t>8</w:t>
            </w:r>
          </w:p>
        </w:tc>
      </w:tr>
      <w:tr w:rsidR="00AA3F18" w:rsidRPr="004D2E4E" w14:paraId="4B4A94B1" w14:textId="77777777" w:rsidTr="00877B69">
        <w:trPr>
          <w:trHeight w:val="454"/>
        </w:trPr>
        <w:tc>
          <w:tcPr>
            <w:tcW w:w="7508" w:type="dxa"/>
            <w:vAlign w:val="center"/>
          </w:tcPr>
          <w:p w14:paraId="7C4624D2" w14:textId="2D5712BC" w:rsidR="00AA3F18" w:rsidRPr="00857108" w:rsidRDefault="00877B69">
            <w:pPr>
              <w:rPr>
                <w:b/>
                <w:bCs/>
              </w:rPr>
            </w:pPr>
            <w:hyperlink w:anchor="Appendix3" w:history="1">
              <w:r w:rsidRPr="00877B69">
                <w:rPr>
                  <w:rStyle w:val="Hyperlink"/>
                  <w:b/>
                  <w:bCs/>
                  <w:color w:val="004B62" w:themeColor="text1"/>
                </w:rPr>
                <w:t xml:space="preserve">Appendix 3: Observation and feedback model </w:t>
              </w:r>
              <w:r w:rsidRPr="00E67AE0">
                <w:rPr>
                  <w:rStyle w:val="Hyperlink"/>
                  <w:b/>
                  <w:bCs/>
                  <w:color w:val="004B62" w:themeColor="text1"/>
                </w:rPr>
                <w:t>- Year 2</w:t>
              </w:r>
            </w:hyperlink>
          </w:p>
        </w:tc>
        <w:tc>
          <w:tcPr>
            <w:tcW w:w="1506" w:type="dxa"/>
            <w:vAlign w:val="center"/>
          </w:tcPr>
          <w:p w14:paraId="29FF897F" w14:textId="199A66E7" w:rsidR="00AA3F18" w:rsidRPr="00877B69" w:rsidRDefault="00AA3F18" w:rsidP="00877B69">
            <w:pPr>
              <w:jc w:val="both"/>
              <w:rPr>
                <w:b/>
                <w:bCs/>
                <w:color w:val="004B62" w:themeColor="text1"/>
              </w:rPr>
            </w:pPr>
            <w:r w:rsidRPr="00877B69">
              <w:rPr>
                <w:b/>
                <w:bCs/>
                <w:color w:val="004B62" w:themeColor="text1"/>
              </w:rPr>
              <w:t xml:space="preserve">Page </w:t>
            </w:r>
            <w:r w:rsidR="00D946E8">
              <w:rPr>
                <w:b/>
                <w:bCs/>
                <w:color w:val="004B62" w:themeColor="text1"/>
              </w:rPr>
              <w:t>29</w:t>
            </w:r>
          </w:p>
        </w:tc>
      </w:tr>
    </w:tbl>
    <w:p w14:paraId="0737360D" w14:textId="77777777" w:rsidR="00AA3F18" w:rsidRDefault="00AA3F18" w:rsidP="00AA3F18">
      <w:pPr>
        <w:rPr>
          <w:lang w:val="en-US"/>
        </w:rPr>
        <w:sectPr w:rsidR="00AA3F18" w:rsidSect="00AA3F18">
          <w:headerReference w:type="default" r:id="rId22"/>
          <w:pgSz w:w="11906" w:h="16838"/>
          <w:pgMar w:top="1440" w:right="1440" w:bottom="1440" w:left="1440" w:header="720" w:footer="720" w:gutter="0"/>
          <w:cols w:space="720"/>
        </w:sectPr>
      </w:pPr>
    </w:p>
    <w:p w14:paraId="0476CC3E" w14:textId="77777777" w:rsidR="007C4D56" w:rsidRDefault="007C4D56">
      <w:pPr>
        <w:spacing w:before="0" w:after="200"/>
        <w:jc w:val="both"/>
        <w:rPr>
          <w:rStyle w:val="normaltextrun"/>
          <w:rFonts w:ascii="Tahoma" w:hAnsi="Tahoma" w:cs="Tahoma"/>
          <w:b/>
          <w:bCs/>
          <w:color w:val="004B62" w:themeColor="text1"/>
          <w:sz w:val="28"/>
          <w:szCs w:val="28"/>
        </w:rPr>
      </w:pPr>
      <w:bookmarkStart w:id="5" w:name="Adaptiveteaching"/>
      <w:bookmarkStart w:id="6" w:name="RevisitingBehaviourandHighExpectations"/>
      <w:bookmarkStart w:id="7" w:name="Section1"/>
      <w:bookmarkEnd w:id="5"/>
      <w:bookmarkEnd w:id="6"/>
      <w:r>
        <w:rPr>
          <w:rStyle w:val="normaltextrun"/>
        </w:rPr>
        <w:br w:type="page"/>
      </w:r>
    </w:p>
    <w:p w14:paraId="496F84EF" w14:textId="67BBE4B2" w:rsidR="008C6C41" w:rsidRDefault="00D405C2" w:rsidP="007D5B40">
      <w:pPr>
        <w:pStyle w:val="Heading"/>
      </w:pPr>
      <w:r w:rsidRPr="007D5B40">
        <w:rPr>
          <w:rStyle w:val="normaltextrun"/>
        </w:rPr>
        <w:lastRenderedPageBreak/>
        <w:t xml:space="preserve">Section 1: </w:t>
      </w:r>
      <w:r w:rsidR="007D5B40">
        <w:t xml:space="preserve">Review of ECT materials </w:t>
      </w:r>
      <w:bookmarkEnd w:id="7"/>
    </w:p>
    <w:p w14:paraId="2158C3E7" w14:textId="2754B0D7" w:rsidR="00525DF9" w:rsidRDefault="002943B1" w:rsidP="00525DF9">
      <w:pPr>
        <w:pStyle w:val="Subheading"/>
        <w:numPr>
          <w:ilvl w:val="0"/>
          <w:numId w:val="41"/>
        </w:numPr>
      </w:pPr>
      <w:r>
        <w:t>R</w:t>
      </w:r>
      <w:r w:rsidRPr="00E53653">
        <w:t xml:space="preserve">ecapping the </w:t>
      </w:r>
      <w:r w:rsidR="008E500D">
        <w:t>evidence from Year 1</w:t>
      </w:r>
    </w:p>
    <w:p w14:paraId="1E44D39A" w14:textId="77777777" w:rsidR="00575374" w:rsidRDefault="00575374" w:rsidP="00575374">
      <w:pPr>
        <w:pStyle w:val="Subheading"/>
      </w:pPr>
      <w:bookmarkStart w:id="8" w:name="SecureSubjectKnowledge"/>
      <w:r>
        <w:t xml:space="preserve">Defining ‘secure subject knowledge’ </w:t>
      </w:r>
    </w:p>
    <w:bookmarkEnd w:id="8"/>
    <w:p w14:paraId="5176844D" w14:textId="77777777" w:rsidR="00575374" w:rsidRDefault="00575374" w:rsidP="00575374">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You will by now understand the need for teachers to have</w:t>
      </w:r>
      <w:r w:rsidRPr="003A5B9E">
        <w:rPr>
          <w:rFonts w:asciiTheme="minorHAnsi" w:hAnsiTheme="minorHAnsi" w:cstheme="minorHAnsi"/>
          <w:b w:val="0"/>
          <w:bCs w:val="0"/>
          <w:color w:val="auto"/>
          <w:szCs w:val="22"/>
        </w:rPr>
        <w:t xml:space="preserve"> ‘secure subject knowledge’. Teachers must understand their subjects well, as they cannot help pupils learn material they themselves do not grasp (Ball, 1991). This includes deep knowledge of the content, the key ideas within the subject, and the ‘most efficient ways’ of thinking in the discipline (Coe et al., 2014).</w:t>
      </w:r>
    </w:p>
    <w:p w14:paraId="4ABE5125" w14:textId="77777777" w:rsidR="00575374" w:rsidRPr="00DE176E" w:rsidRDefault="00575374" w:rsidP="00575374">
      <w:pPr>
        <w:pStyle w:val="Subheading"/>
        <w:rPr>
          <w:color w:val="auto"/>
        </w:rPr>
      </w:pPr>
      <w:r w:rsidRPr="00DE176E">
        <w:rPr>
          <w:color w:val="auto"/>
        </w:rPr>
        <w:t xml:space="preserve">Pedagogical content knowledge </w:t>
      </w:r>
    </w:p>
    <w:p w14:paraId="023BC3C0" w14:textId="77777777" w:rsidR="00575374" w:rsidRDefault="00575374" w:rsidP="00575374">
      <w:r>
        <w:t>S</w:t>
      </w:r>
      <w:r w:rsidRPr="00264BA8">
        <w:t xml:space="preserve">ecure subject knowledge refers to more than </w:t>
      </w:r>
      <w:r>
        <w:t>the content of the curriculum</w:t>
      </w:r>
      <w:r w:rsidRPr="00264BA8">
        <w:t>. </w:t>
      </w:r>
      <w:r>
        <w:t xml:space="preserve"> Secure subject knowledge also incorporates what we call </w:t>
      </w:r>
      <w:r w:rsidRPr="004F0137">
        <w:rPr>
          <w:b/>
          <w:bCs/>
        </w:rPr>
        <w:t>pedagogical content knowledge</w:t>
      </w:r>
      <w:r>
        <w:t>. You will recall that p</w:t>
      </w:r>
      <w:r w:rsidRPr="00C65034">
        <w:t>edagogical content knowledge is the understanding of how to teach specific ideas effectively</w:t>
      </w:r>
      <w:r>
        <w:t>. This will be reviewed in more depth for Reading 1.</w:t>
      </w:r>
    </w:p>
    <w:p w14:paraId="49D13EEB" w14:textId="77777777" w:rsidR="00575374" w:rsidRPr="00723C14" w:rsidRDefault="00575374" w:rsidP="00575374">
      <w:pPr>
        <w:pStyle w:val="Subhheadingblack"/>
        <w:rPr>
          <w:color w:val="auto"/>
        </w:rPr>
      </w:pPr>
      <w:r w:rsidRPr="00723C14">
        <w:rPr>
          <w:color w:val="auto"/>
        </w:rPr>
        <w:t>Explicit teaching of skills is important</w:t>
      </w:r>
    </w:p>
    <w:p w14:paraId="7B67909E" w14:textId="77777777" w:rsidR="00575374" w:rsidRDefault="00575374" w:rsidP="00575374">
      <w:r w:rsidRPr="00C4326B">
        <w:t>With subject knowledge already in place, the next step is considering how to share it in ways that ensure pupils learn it.</w:t>
      </w:r>
    </w:p>
    <w:p w14:paraId="4F23E6AC" w14:textId="77777777" w:rsidR="00575374" w:rsidRDefault="00575374" w:rsidP="00575374">
      <w:r w:rsidRPr="00954121">
        <w:t>Explicit instruction is a cornerstone of effective teaching, particularly when developing pupils’ skills across various subjects. Many skills that might be assumed to develop naturally in pupils actually require deliberate and direct teaching</w:t>
      </w:r>
      <w:r>
        <w:t>.</w:t>
      </w:r>
      <w:r w:rsidRPr="00954121">
        <w:t xml:space="preserve"> This is especially true for pupils with lower prior attainment, who may benefit even more from explicit </w:t>
      </w:r>
      <w:r w:rsidRPr="00C94ADE">
        <w:t>instruction (</w:t>
      </w:r>
      <w:r w:rsidRPr="00A46042">
        <w:t xml:space="preserve">EEF, </w:t>
      </w:r>
      <w:r w:rsidRPr="00C94ADE">
        <w:t>2022).</w:t>
      </w:r>
      <w:r w:rsidRPr="00954121">
        <w:t xml:space="preserve"> </w:t>
      </w:r>
    </w:p>
    <w:p w14:paraId="2F553644" w14:textId="77777777" w:rsidR="00575374" w:rsidRDefault="00575374" w:rsidP="00575374">
      <w:r>
        <w:t>You will remember that key</w:t>
      </w:r>
      <w:r w:rsidRPr="00F64CD6">
        <w:t xml:space="preserve"> skills</w:t>
      </w:r>
      <w:r>
        <w:t xml:space="preserve"> for learning,</w:t>
      </w:r>
      <w:r w:rsidRPr="00F64CD6">
        <w:t xml:space="preserve"> such as </w:t>
      </w:r>
      <w:r w:rsidRPr="00C92A91">
        <w:t>metacognition and self-regulation</w:t>
      </w:r>
      <w:r>
        <w:t>,</w:t>
      </w:r>
      <w:r w:rsidRPr="00E560EA">
        <w:t xml:space="preserve"> </w:t>
      </w:r>
      <w:r w:rsidRPr="00F64CD6">
        <w:t xml:space="preserve">need to be taught within the context of a specific subject, rather than </w:t>
      </w:r>
      <w:r>
        <w:t xml:space="preserve">regarding them </w:t>
      </w:r>
      <w:r w:rsidRPr="00F64CD6">
        <w:t>as generic abilities</w:t>
      </w:r>
      <w:r>
        <w:t xml:space="preserve"> (EEF, 2021). </w:t>
      </w:r>
      <w:r w:rsidRPr="00F64CD6">
        <w:t xml:space="preserve">This involves the teacher clearly modelling their own thinking processes to help </w:t>
      </w:r>
      <w:r>
        <w:t>pupils</w:t>
      </w:r>
      <w:r w:rsidRPr="00F64CD6">
        <w:t xml:space="preserve"> develop both metacognitive and cognitive skills, often using worked examples to make their thought processes explicit</w:t>
      </w:r>
      <w:r>
        <w:t xml:space="preserve"> (EEF, 2022)</w:t>
      </w:r>
      <w:r w:rsidRPr="00F64CD6">
        <w:t xml:space="preserve">. </w:t>
      </w:r>
    </w:p>
    <w:p w14:paraId="730FAA1D" w14:textId="77777777" w:rsidR="00575374" w:rsidRDefault="00575374" w:rsidP="00575374">
      <w:pPr>
        <w:pStyle w:val="Subhheadingblack"/>
      </w:pPr>
      <w:r w:rsidRPr="008F1143">
        <w:rPr>
          <w:color w:val="auto"/>
        </w:rPr>
        <w:t>Let’s review what we mean by explicit instruction?</w:t>
      </w:r>
    </w:p>
    <w:p w14:paraId="3AFE0B74" w14:textId="77777777" w:rsidR="00575374" w:rsidRDefault="00575374" w:rsidP="00575374">
      <w:r>
        <w:t xml:space="preserve">Explicit instruction includes: </w:t>
      </w:r>
    </w:p>
    <w:p w14:paraId="3F0A30CA" w14:textId="77777777" w:rsidR="00575374" w:rsidRDefault="00575374" w:rsidP="00575374">
      <w:pPr>
        <w:pStyle w:val="ListParagraph"/>
        <w:numPr>
          <w:ilvl w:val="0"/>
          <w:numId w:val="51"/>
        </w:numPr>
      </w:pPr>
      <w:r w:rsidRPr="00AA63D8">
        <w:t>teaching skills and concepts in small steps</w:t>
      </w:r>
      <w:r>
        <w:t>;</w:t>
      </w:r>
      <w:r w:rsidRPr="00AA63D8">
        <w:t xml:space="preserve"> </w:t>
      </w:r>
    </w:p>
    <w:p w14:paraId="04FE9273" w14:textId="77777777" w:rsidR="00575374" w:rsidRDefault="00575374" w:rsidP="00575374">
      <w:pPr>
        <w:pStyle w:val="ListParagraph"/>
        <w:numPr>
          <w:ilvl w:val="0"/>
          <w:numId w:val="51"/>
        </w:numPr>
      </w:pPr>
      <w:r w:rsidRPr="00AA63D8">
        <w:t>using examples and non-examples</w:t>
      </w:r>
      <w:r>
        <w:t>;</w:t>
      </w:r>
    </w:p>
    <w:p w14:paraId="3544E9D2" w14:textId="77777777" w:rsidR="00575374" w:rsidRDefault="00575374" w:rsidP="00575374">
      <w:pPr>
        <w:pStyle w:val="ListParagraph"/>
        <w:numPr>
          <w:ilvl w:val="0"/>
          <w:numId w:val="51"/>
        </w:numPr>
      </w:pPr>
      <w:r w:rsidRPr="00AA63D8">
        <w:t>using clear and unambiguous language</w:t>
      </w:r>
      <w:r>
        <w:t>;</w:t>
      </w:r>
    </w:p>
    <w:p w14:paraId="2FCADEED" w14:textId="77777777" w:rsidR="00575374" w:rsidRDefault="00575374" w:rsidP="00575374">
      <w:pPr>
        <w:pStyle w:val="ListParagraph"/>
        <w:numPr>
          <w:ilvl w:val="0"/>
          <w:numId w:val="51"/>
        </w:numPr>
      </w:pPr>
      <w:r w:rsidRPr="00AA63D8">
        <w:t>anticipating and planning for common misconceptions</w:t>
      </w:r>
      <w:r>
        <w:t>;</w:t>
      </w:r>
      <w:r w:rsidRPr="00AA63D8">
        <w:t xml:space="preserve"> and</w:t>
      </w:r>
    </w:p>
    <w:p w14:paraId="14D7086F" w14:textId="77777777" w:rsidR="00575374" w:rsidRDefault="00575374" w:rsidP="00575374">
      <w:pPr>
        <w:pStyle w:val="ListParagraph"/>
        <w:numPr>
          <w:ilvl w:val="0"/>
          <w:numId w:val="51"/>
        </w:numPr>
      </w:pPr>
      <w:r w:rsidRPr="00AA63D8">
        <w:lastRenderedPageBreak/>
        <w:t>highlighting essential content and removing distracting information</w:t>
      </w:r>
      <w:r>
        <w:t xml:space="preserve"> (EEF, 2021).</w:t>
      </w:r>
    </w:p>
    <w:p w14:paraId="186B581A" w14:textId="77777777" w:rsidR="00575374" w:rsidRPr="003C3546" w:rsidRDefault="00575374" w:rsidP="00575374">
      <w:r w:rsidRPr="00370DA4">
        <w:t xml:space="preserve">You may be familiar with some of these and even already be using them in your teaching. </w:t>
      </w:r>
    </w:p>
    <w:p w14:paraId="691FA5C0" w14:textId="77777777" w:rsidR="00575374" w:rsidRPr="00435CDB" w:rsidRDefault="00575374" w:rsidP="00575374">
      <w:pPr>
        <w:rPr>
          <w:b/>
          <w:bCs/>
        </w:rPr>
      </w:pPr>
      <w:r w:rsidRPr="00435CDB">
        <w:rPr>
          <w:b/>
          <w:bCs/>
        </w:rPr>
        <w:t xml:space="preserve">Subject specific explicit instruction </w:t>
      </w:r>
    </w:p>
    <w:p w14:paraId="7E269B73" w14:textId="77777777" w:rsidR="00575374" w:rsidRDefault="00575374" w:rsidP="00575374">
      <w:r>
        <w:t xml:space="preserve">A good curriculum </w:t>
      </w:r>
      <w:r w:rsidRPr="003203DB">
        <w:t>focuses on the knowledge and skills pupils need to succeed within a particular subject discipline</w:t>
      </w:r>
      <w:r>
        <w:t>. This requires explicitly</w:t>
      </w:r>
      <w:r w:rsidRPr="003203DB">
        <w:t xml:space="preserve"> introducing pupils to the skills and metacognitive strategies that experts within each subject discipline use (Kirschner</w:t>
      </w:r>
      <w:r>
        <w:t xml:space="preserve"> et al.</w:t>
      </w:r>
      <w:r w:rsidRPr="003203DB">
        <w:t>, 2006).</w:t>
      </w:r>
      <w:r>
        <w:t xml:space="preserve"> </w:t>
      </w:r>
    </w:p>
    <w:p w14:paraId="2A268FC7" w14:textId="77777777" w:rsidR="00575374" w:rsidRDefault="00575374" w:rsidP="00575374">
      <w:r>
        <w:t xml:space="preserve">Whilst specific skills being taught might vary according to the subject, effective explicit instruction normally starts with a teacher explanation followed by opportunities for guided pupil practice before progressing to independent practice (EEF, 2021).  </w:t>
      </w:r>
    </w:p>
    <w:p w14:paraId="246688A8" w14:textId="77777777" w:rsidR="00575374" w:rsidRPr="00F64CD6" w:rsidRDefault="00575374" w:rsidP="00575374">
      <w:r>
        <w:t>Whilst explicit instruction benefits all pupils, it is especially beneficial for pupils with SEN (EEF, 2021). However, teachers should</w:t>
      </w:r>
      <w:r w:rsidRPr="00F64CD6">
        <w:t xml:space="preserve"> consider </w:t>
      </w:r>
      <w:r>
        <w:t xml:space="preserve">the individual needs of their pupils and how these strategies need to be tailored in order to be responsive to need (EEF, 2021 p.27). </w:t>
      </w:r>
    </w:p>
    <w:p w14:paraId="0C9553D3" w14:textId="77777777" w:rsidR="00575374" w:rsidRPr="00D04020" w:rsidRDefault="00575374" w:rsidP="00575374">
      <w:pPr>
        <w:pStyle w:val="Subheading"/>
        <w:rPr>
          <w:color w:val="auto"/>
        </w:rPr>
      </w:pPr>
      <w:r w:rsidRPr="00D04020">
        <w:rPr>
          <w:color w:val="auto"/>
        </w:rPr>
        <w:t>What do we mean by ‘foundational knowledge’?</w:t>
      </w:r>
    </w:p>
    <w:p w14:paraId="57BD815E" w14:textId="77777777" w:rsidR="00575374" w:rsidRDefault="00575374" w:rsidP="00575374">
      <w:r w:rsidRPr="00381270">
        <w:t>Subject disciplines have foundational knowledge that underpins further learning.</w:t>
      </w:r>
      <w:r>
        <w:t xml:space="preserve"> Let’s return to this diagram from Year 1 that illustrates the range of components that make up foundational knowledge: </w:t>
      </w:r>
    </w:p>
    <w:p w14:paraId="1C18EA70" w14:textId="77777777" w:rsidR="00575374" w:rsidRDefault="00575374" w:rsidP="00575374">
      <w:r w:rsidRPr="000E1ED4">
        <w:rPr>
          <w:noProof/>
        </w:rPr>
        <w:drawing>
          <wp:inline distT="0" distB="0" distL="0" distR="0" wp14:anchorId="529C4D1B" wp14:editId="5146EA09">
            <wp:extent cx="5731510" cy="3563620"/>
            <wp:effectExtent l="0" t="0" r="2540" b="0"/>
            <wp:docPr id="211616" name="Picture 1" descr="Image shows a blue circle at the centre bottom of the image with the words 'foundational knowledge' on. Around it are seven boxes each with an arrow pointing at the circle. Each box has a different word on representing different components of foundational knowledge. The words are facts, ideas, principles, methods, skills, vocabulary and ways of thin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6" name="Picture 1" descr="Image shows a blue circle at the centre bottom of the image with the words 'foundational knowledge' on. Around it are seven boxes each with an arrow pointing at the circle. Each box has a different word on representing different components of foundational knowledge. The words are facts, ideas, principles, methods, skills, vocabulary and ways of thinking. "/>
                    <pic:cNvPicPr/>
                  </pic:nvPicPr>
                  <pic:blipFill>
                    <a:blip r:embed="rId23"/>
                    <a:stretch>
                      <a:fillRect/>
                    </a:stretch>
                  </pic:blipFill>
                  <pic:spPr>
                    <a:xfrm>
                      <a:off x="0" y="0"/>
                      <a:ext cx="5731510" cy="3563620"/>
                    </a:xfrm>
                    <a:prstGeom prst="rect">
                      <a:avLst/>
                    </a:prstGeom>
                  </pic:spPr>
                </pic:pic>
              </a:graphicData>
            </a:graphic>
          </wp:inline>
        </w:drawing>
      </w:r>
    </w:p>
    <w:p w14:paraId="02E684C3" w14:textId="77777777" w:rsidR="00575374" w:rsidRPr="003A7F2E" w:rsidRDefault="00575374" w:rsidP="00575374">
      <w:pPr>
        <w:pStyle w:val="Subheading"/>
        <w:rPr>
          <w:b w:val="0"/>
          <w:bCs w:val="0"/>
        </w:rPr>
      </w:pPr>
      <w:r w:rsidRPr="00381270">
        <w:rPr>
          <w:color w:val="auto"/>
        </w:rPr>
        <w:lastRenderedPageBreak/>
        <w:t>Mastering foundational knowledge before you move pupils on</w:t>
      </w:r>
    </w:p>
    <w:p w14:paraId="607FD78C" w14:textId="77777777" w:rsidR="00575374" w:rsidRDefault="00575374" w:rsidP="00575374">
      <w:r>
        <w:t xml:space="preserve">A well-designed curriculum will consider its sequence in depth, taking into consideration </w:t>
      </w:r>
      <w:r w:rsidRPr="007A4F9D">
        <w:t xml:space="preserve">the cognitive principles that underpin how pupils learn. </w:t>
      </w:r>
      <w:r>
        <w:t>We know that pupils</w:t>
      </w:r>
      <w:r w:rsidRPr="007A4F9D">
        <w:t xml:space="preserve"> learn new ideas in relation to ideas they already know (Deans for Impact, 2015</w:t>
      </w:r>
      <w:r>
        <w:t xml:space="preserve">). This enables them </w:t>
      </w:r>
      <w:r w:rsidRPr="007A4F9D">
        <w:t>to develop increasingly complex mental models and allow</w:t>
      </w:r>
      <w:r>
        <w:t>s</w:t>
      </w:r>
      <w:r w:rsidRPr="007A4F9D">
        <w:t xml:space="preserve"> knowledge to cumulatively build over time, supporting the development of </w:t>
      </w:r>
      <w:r w:rsidRPr="002A69D6">
        <w:rPr>
          <w:b/>
          <w:bCs/>
        </w:rPr>
        <w:t>schema</w:t>
      </w:r>
      <w:r w:rsidRPr="007A4F9D">
        <w:t>. </w:t>
      </w:r>
      <w:r>
        <w:t>You may recall that a</w:t>
      </w:r>
      <w:r w:rsidRPr="007A4F9D">
        <w:t xml:space="preserve"> </w:t>
      </w:r>
      <w:r w:rsidRPr="002A69D6">
        <w:rPr>
          <w:b/>
          <w:bCs/>
        </w:rPr>
        <w:t>schema</w:t>
      </w:r>
      <w:r w:rsidRPr="007A4F9D">
        <w:t xml:space="preserve"> is a pattern of thought that organises categories of information, and the links between them (EEF, 20</w:t>
      </w:r>
      <w:r>
        <w:t xml:space="preserve">25). </w:t>
      </w:r>
    </w:p>
    <w:p w14:paraId="237D043C" w14:textId="77777777" w:rsidR="00575374" w:rsidRPr="00A3636D" w:rsidRDefault="00575374" w:rsidP="00575374">
      <w:r w:rsidRPr="00A3636D">
        <w:t>Harlen and James (1997) suggest that when planning and sequencing pupils' learning, we should ensure it: </w:t>
      </w:r>
    </w:p>
    <w:p w14:paraId="0E182B45" w14:textId="77777777" w:rsidR="00575374" w:rsidRPr="00A3636D" w:rsidRDefault="00575374" w:rsidP="00575374">
      <w:pPr>
        <w:pStyle w:val="ListParagraph"/>
        <w:numPr>
          <w:ilvl w:val="0"/>
          <w:numId w:val="52"/>
        </w:numPr>
      </w:pPr>
      <w:r>
        <w:t>p</w:t>
      </w:r>
      <w:r w:rsidRPr="00A3636D">
        <w:t>rogressively develops in terms of ‘big ideas’ within a subject or discipline</w:t>
      </w:r>
      <w:r>
        <w:t>;</w:t>
      </w:r>
      <w:r w:rsidRPr="00A3636D">
        <w:t> </w:t>
      </w:r>
    </w:p>
    <w:p w14:paraId="5040B5C1" w14:textId="77777777" w:rsidR="00575374" w:rsidRPr="00A3636D" w:rsidRDefault="00575374" w:rsidP="00575374">
      <w:pPr>
        <w:pStyle w:val="ListParagraph"/>
        <w:numPr>
          <w:ilvl w:val="0"/>
          <w:numId w:val="52"/>
        </w:numPr>
      </w:pPr>
      <w:r>
        <w:t>i</w:t>
      </w:r>
      <w:r w:rsidRPr="00A3636D">
        <w:t>s constructed on the basis of prior knowledge and previous teachin</w:t>
      </w:r>
      <w:r>
        <w:t>g;</w:t>
      </w:r>
      <w:r w:rsidRPr="00A3636D">
        <w:t> </w:t>
      </w:r>
    </w:p>
    <w:p w14:paraId="5D899616" w14:textId="77777777" w:rsidR="00575374" w:rsidRPr="00A3636D" w:rsidRDefault="00575374" w:rsidP="00575374">
      <w:pPr>
        <w:pStyle w:val="ListParagraph"/>
        <w:numPr>
          <w:ilvl w:val="0"/>
          <w:numId w:val="52"/>
        </w:numPr>
      </w:pPr>
      <w:r>
        <w:t>p</w:t>
      </w:r>
      <w:r w:rsidRPr="00A3636D">
        <w:t>rovides opportunities to apply knowledge in contexts other than those in which it was originally taught</w:t>
      </w:r>
      <w:r>
        <w:t xml:space="preserve">; and </w:t>
      </w:r>
    </w:p>
    <w:p w14:paraId="024FB631" w14:textId="77777777" w:rsidR="00575374" w:rsidRDefault="00575374" w:rsidP="00575374">
      <w:pPr>
        <w:pStyle w:val="ListParagraph"/>
        <w:numPr>
          <w:ilvl w:val="0"/>
          <w:numId w:val="52"/>
        </w:numPr>
      </w:pPr>
      <w:r>
        <w:t>i</w:t>
      </w:r>
      <w:r w:rsidRPr="00A3636D">
        <w:t>s owned by the pupil and becomes a fundamental part of the way they understand the world - not simply knowledge that may be memorised for recall in examinations and subsequently forgotten</w:t>
      </w:r>
      <w:r>
        <w:t>.</w:t>
      </w:r>
    </w:p>
    <w:p w14:paraId="470D345E" w14:textId="77777777" w:rsidR="00575374" w:rsidRPr="00403164" w:rsidRDefault="00575374" w:rsidP="00575374">
      <w:r w:rsidRPr="00403164">
        <w:t xml:space="preserve">Whilst this research is almost 30 years old, the underpinning principles are still relevant and can be used to inform curriculum planning. </w:t>
      </w:r>
    </w:p>
    <w:p w14:paraId="609EC753" w14:textId="77777777" w:rsidR="00575374" w:rsidRDefault="00575374" w:rsidP="00575374">
      <w:pPr>
        <w:pStyle w:val="Subheading"/>
      </w:pPr>
      <w:bookmarkStart w:id="9" w:name="AnticipatingMisconceptions"/>
      <w:r>
        <w:t>Anticipating misconceptions</w:t>
      </w:r>
    </w:p>
    <w:bookmarkEnd w:id="9"/>
    <w:p w14:paraId="4651AF71" w14:textId="77777777" w:rsidR="00575374" w:rsidRDefault="00575374" w:rsidP="00575374">
      <w:r>
        <w:t>You will recall that misconceptions are beliefs which conflict with what is to be learned, rather than errors or knowledge gaps (Chi, 2009). For pupils, the most important common misconceptions to anticipate are the ones which relate to foundational concepts. This is because misconceptions can be difficult to shift but doing so can lead to big gains in learning, particularly for threshold concepts (EEF, 2021).</w:t>
      </w:r>
    </w:p>
    <w:p w14:paraId="46C4584B" w14:textId="77777777" w:rsidR="00575374" w:rsidRPr="001B6510" w:rsidRDefault="00575374" w:rsidP="00575374">
      <w:pPr>
        <w:pStyle w:val="Subheading"/>
        <w:rPr>
          <w:color w:val="auto"/>
        </w:rPr>
      </w:pPr>
      <w:r w:rsidRPr="001B6510">
        <w:rPr>
          <w:color w:val="auto"/>
        </w:rPr>
        <w:t xml:space="preserve">How prior learning can lead to misconceptions </w:t>
      </w:r>
    </w:p>
    <w:p w14:paraId="757C11B4" w14:textId="77777777" w:rsidR="00575374" w:rsidRDefault="00575374" w:rsidP="00575374">
      <w:r>
        <w:t xml:space="preserve">All of us have ‘preconceptions’ which come from our own lived experiences and prior learning (EEF, 2022, p. 10) and it is the role of the teacher to know which one’s pupils are more likely to have (EEF, 2022, p. 10). We will look at this in greater detail later.  </w:t>
      </w:r>
    </w:p>
    <w:p w14:paraId="33C02C24" w14:textId="77777777" w:rsidR="00575374" w:rsidRDefault="00575374" w:rsidP="00575374">
      <w:r>
        <w:t xml:space="preserve">You’ll be familiar with how important prior learning is to ensure pupils master key concepts and skills but prior learning can also cause pupils to have misconceptions EEF, 2022, p10). You may even have experienced this in your own classroom. </w:t>
      </w:r>
    </w:p>
    <w:p w14:paraId="2A1A5E0B" w14:textId="7F4B7DD2" w:rsidR="00575374" w:rsidRPr="006B36E6" w:rsidRDefault="00575374" w:rsidP="00575374">
      <w:r>
        <w:t xml:space="preserve">However, some research suggests that prior learning isn’t always an indication that pupils will learn new things well (Simonsmeier et al., 2022). In fact, it can even hinder new learning where the knowledge conflicts with deeply rooted </w:t>
      </w:r>
      <w:r>
        <w:lastRenderedPageBreak/>
        <w:t xml:space="preserve">preconceptions (Simonsmeieir et al., 2022). This apparent conflict of ideas can be better understood when we understand that misconceptions come in varied forms. </w:t>
      </w:r>
    </w:p>
    <w:p w14:paraId="398B0C49" w14:textId="7BE03EC7" w:rsidR="00575374" w:rsidRPr="00620687" w:rsidRDefault="00575374" w:rsidP="00620687">
      <w:pPr>
        <w:rPr>
          <w:b/>
          <w:bCs/>
          <w:color w:val="FF0000"/>
        </w:rPr>
      </w:pPr>
      <w:r w:rsidRPr="00620687">
        <w:rPr>
          <w:b/>
          <w:bCs/>
        </w:rPr>
        <w:t> Why is it important to anticipate misconceptions?</w:t>
      </w:r>
    </w:p>
    <w:p w14:paraId="26630F22" w14:textId="77777777" w:rsidR="00575374" w:rsidRDefault="00575374" w:rsidP="00575374">
      <w:r>
        <w:t>Reviews of different research that underpins the most effective teaching concludes that ‘a</w:t>
      </w:r>
      <w:r w:rsidRPr="00117B41">
        <w:t>s well as a strong understanding of the material being taught, teachers must also understand the ways students think about the content, be able to evaluate the thinking behind students’ own methods and identify students’ common misconceptions.</w:t>
      </w:r>
      <w:r>
        <w:t>’</w:t>
      </w:r>
      <w:r w:rsidRPr="00117B41">
        <w:t xml:space="preserve"> (Coe et al</w:t>
      </w:r>
      <w:r>
        <w:t>.</w:t>
      </w:r>
      <w:r w:rsidRPr="00117B41">
        <w:t>, 2014, page 2)</w:t>
      </w:r>
      <w:r>
        <w:t xml:space="preserve">. </w:t>
      </w:r>
      <w:r w:rsidRPr="00117B41">
        <w:t> </w:t>
      </w:r>
    </w:p>
    <w:p w14:paraId="4148512F" w14:textId="77777777" w:rsidR="00575374" w:rsidRDefault="00575374" w:rsidP="00575374">
      <w:r w:rsidRPr="00B56F92">
        <w:t>You will probably already have experienced in your own teaching that pupils’ preconceived notions and alternative conceptions shape how they respond to new learning, and that recognising these helps</w:t>
      </w:r>
      <w:r>
        <w:t xml:space="preserve"> you</w:t>
      </w:r>
      <w:r w:rsidRPr="00B56F92">
        <w:t xml:space="preserve"> tailor instruction more effectively.</w:t>
      </w:r>
      <w:r>
        <w:t xml:space="preserve"> By addressing</w:t>
      </w:r>
      <w:r w:rsidDel="00534777">
        <w:t xml:space="preserve"> </w:t>
      </w:r>
      <w:r>
        <w:t>misconceptions directly, teachers can help pupils to develop a more accurate understanding of key concepts by planning</w:t>
      </w:r>
      <w:r w:rsidRPr="00117401">
        <w:t xml:space="preserve"> their instruction to address them</w:t>
      </w:r>
      <w:r>
        <w:t xml:space="preserve"> early in the sequence of teaching</w:t>
      </w:r>
      <w:r w:rsidRPr="00117401">
        <w:t xml:space="preserve">. </w:t>
      </w:r>
    </w:p>
    <w:p w14:paraId="0E5F5D02" w14:textId="77777777" w:rsidR="00575374" w:rsidRPr="00126270" w:rsidRDefault="00575374" w:rsidP="00575374">
      <w:r w:rsidRPr="00126270">
        <w:t xml:space="preserve">Some of the strategies you </w:t>
      </w:r>
      <w:r>
        <w:t>may have already</w:t>
      </w:r>
      <w:r w:rsidRPr="00126270">
        <w:t xml:space="preserve"> use</w:t>
      </w:r>
      <w:r>
        <w:t>d</w:t>
      </w:r>
      <w:r w:rsidRPr="00126270">
        <w:t xml:space="preserve"> to address misconceptions include: </w:t>
      </w:r>
    </w:p>
    <w:p w14:paraId="7B7FBC89" w14:textId="77777777" w:rsidR="00575374" w:rsidRPr="00126270" w:rsidRDefault="00575374" w:rsidP="00575374">
      <w:pPr>
        <w:pStyle w:val="ListParagraph"/>
        <w:numPr>
          <w:ilvl w:val="0"/>
          <w:numId w:val="53"/>
        </w:numPr>
      </w:pPr>
      <w:r w:rsidRPr="00126270">
        <w:t>explicitly addressing misconceptions through your explanation; this could include the use of analogies, demonstrations, illustrations and worked examples</w:t>
      </w:r>
      <w:r>
        <w:t xml:space="preserve">; </w:t>
      </w:r>
      <w:r w:rsidRPr="00126270">
        <w:t xml:space="preserve"> </w:t>
      </w:r>
    </w:p>
    <w:p w14:paraId="6E70D76B" w14:textId="77777777" w:rsidR="00575374" w:rsidRPr="00126270" w:rsidRDefault="00575374" w:rsidP="00575374">
      <w:pPr>
        <w:pStyle w:val="ListParagraph"/>
        <w:numPr>
          <w:ilvl w:val="0"/>
          <w:numId w:val="53"/>
        </w:numPr>
      </w:pPr>
      <w:r w:rsidRPr="00126270">
        <w:t>providing evidence that might conflict with their thinking</w:t>
      </w:r>
      <w:r>
        <w:t>; and</w:t>
      </w:r>
      <w:r w:rsidRPr="00126270">
        <w:t xml:space="preserve"> </w:t>
      </w:r>
    </w:p>
    <w:p w14:paraId="7A050340" w14:textId="77777777" w:rsidR="00575374" w:rsidRPr="00126270" w:rsidRDefault="00575374" w:rsidP="00575374">
      <w:pPr>
        <w:pStyle w:val="ListParagraph"/>
        <w:numPr>
          <w:ilvl w:val="0"/>
          <w:numId w:val="53"/>
        </w:numPr>
      </w:pPr>
      <w:r w:rsidRPr="00126270">
        <w:t>provide activities to support them to restructure their thinking; for example, the use of manipulatives in maths, reviewing historical sources or conducting fair tests in science</w:t>
      </w:r>
      <w:r w:rsidRPr="00126270" w:rsidDel="008B5C79">
        <w:t>.</w:t>
      </w:r>
      <w:r w:rsidRPr="00126270">
        <w:t xml:space="preserve"> </w:t>
      </w:r>
    </w:p>
    <w:p w14:paraId="2D5AB74C" w14:textId="77777777" w:rsidR="00575374" w:rsidRDefault="00575374" w:rsidP="00575374">
      <w:r w:rsidRPr="00126270">
        <w:t xml:space="preserve">Changing deeply embedded misconceptions may </w:t>
      </w:r>
      <w:r>
        <w:t>not happen immediately</w:t>
      </w:r>
      <w:r w:rsidRPr="00126270">
        <w:t xml:space="preserve">, and this may require revisiting concepts to move pupils’ thinking on and correct it, however this is crucial in terms of moving learning on (EEF, </w:t>
      </w:r>
      <w:r>
        <w:t>2022</w:t>
      </w:r>
      <w:r w:rsidRPr="00126270">
        <w:t xml:space="preserve">). </w:t>
      </w:r>
    </w:p>
    <w:p w14:paraId="0C369AA1" w14:textId="77777777" w:rsidR="00575374" w:rsidRPr="00D45010" w:rsidRDefault="00575374" w:rsidP="00575374">
      <w:pPr>
        <w:pStyle w:val="Subheading"/>
        <w:rPr>
          <w:b w:val="0"/>
          <w:color w:val="auto"/>
        </w:rPr>
      </w:pPr>
      <w:r w:rsidRPr="00D45010">
        <w:rPr>
          <w:color w:val="auto"/>
        </w:rPr>
        <w:t xml:space="preserve">Challenging misconceptions develops critical thinking </w:t>
      </w:r>
    </w:p>
    <w:p w14:paraId="25D6D8EC" w14:textId="77777777" w:rsidR="00575374" w:rsidRDefault="00575374" w:rsidP="00575374">
      <w:r w:rsidRPr="00C1730E">
        <w:t>Encouraging pupils to recognise and challenge misconceptions can also foster</w:t>
      </w:r>
      <w:r>
        <w:t xml:space="preserve"> pupils to think more deeply</w:t>
      </w:r>
      <w:r w:rsidRPr="00C1730E">
        <w:t xml:space="preserve"> (EEF, </w:t>
      </w:r>
      <w:r>
        <w:t>2022</w:t>
      </w:r>
      <w:r w:rsidRPr="00C1730E">
        <w:t>). By engaging in discussions and activities that address</w:t>
      </w:r>
      <w:r>
        <w:t xml:space="preserve"> misconceptions, pupils can begin to learn to evaluate evidence, revise their thinking, and develop a deeper understanding of specific key concepts. </w:t>
      </w:r>
    </w:p>
    <w:p w14:paraId="3E4CA5AF" w14:textId="77777777" w:rsidR="00575374" w:rsidRDefault="00575374" w:rsidP="00575374">
      <w:pPr>
        <w:pStyle w:val="Subheading"/>
      </w:pPr>
      <w:bookmarkStart w:id="10" w:name="DevelopingCriticalThinking"/>
      <w:r>
        <w:t xml:space="preserve">Developing pupils’ critical thinking </w:t>
      </w:r>
    </w:p>
    <w:bookmarkEnd w:id="10"/>
    <w:p w14:paraId="1D7CFD26" w14:textId="77777777" w:rsidR="00575374" w:rsidRDefault="00575374" w:rsidP="00575374">
      <w:r>
        <w:t>You may recall that h</w:t>
      </w:r>
      <w:r w:rsidRPr="00777477">
        <w:t>aving secure knowledge about a subject is a precursor to thinking critically about that subject. I</w:t>
      </w:r>
      <w:r>
        <w:t>n fact, it’s</w:t>
      </w:r>
      <w:r w:rsidRPr="00777477">
        <w:t xml:space="preserve"> not effective to focus on critical thinking skills unless pupils understand the material they are being asked to think about </w:t>
      </w:r>
      <w:r w:rsidRPr="00777477">
        <w:rPr>
          <w:lang w:val="en-US"/>
        </w:rPr>
        <w:t>(</w:t>
      </w:r>
      <w:r>
        <w:rPr>
          <w:lang w:val="en-US"/>
        </w:rPr>
        <w:t>Facione, 1990;</w:t>
      </w:r>
      <w:r w:rsidRPr="00777477">
        <w:rPr>
          <w:lang w:val="en-US"/>
        </w:rPr>
        <w:t xml:space="preserve"> Willingham, 2002). </w:t>
      </w:r>
      <w:r w:rsidRPr="00777477">
        <w:t>  </w:t>
      </w:r>
    </w:p>
    <w:p w14:paraId="5F0854B9" w14:textId="77777777" w:rsidR="00575374" w:rsidRDefault="00575374" w:rsidP="00575374">
      <w:pPr>
        <w:tabs>
          <w:tab w:val="num" w:pos="720"/>
        </w:tabs>
      </w:pPr>
      <w:r>
        <w:lastRenderedPageBreak/>
        <w:t xml:space="preserve">However, there is some debate as to whether critical thinking skills are particular to a subject discipline or whether it is like a ‘toolkit’ with a set of broad skills that can be applied across multiple domains (Heard et al., </w:t>
      </w:r>
      <w:r w:rsidRPr="00F71F66">
        <w:t xml:space="preserve">2020). </w:t>
      </w:r>
      <w:r w:rsidRPr="00D81AAE">
        <w:t xml:space="preserve">It is worth </w:t>
      </w:r>
      <w:r>
        <w:t xml:space="preserve">returning to </w:t>
      </w:r>
      <w:r w:rsidRPr="00D81AAE">
        <w:t xml:space="preserve">Daniel Willingham </w:t>
      </w:r>
      <w:r>
        <w:t xml:space="preserve">who </w:t>
      </w:r>
      <w:r w:rsidRPr="00D81AAE">
        <w:t>argues that teaching critical thinking through subject content aims to help pupils apply those skills more widely (Willingham, 2019).</w:t>
      </w:r>
      <w:r>
        <w:t xml:space="preserve"> Furthermore, he highlights the value of explicitly teaching critical thinking skills from an early age to better equip pupils to navigate a world in which artificial intelligence (AI) and other technologies are increasingly prevalent (Willingham, 2019, p.3). </w:t>
      </w:r>
    </w:p>
    <w:p w14:paraId="5DA726B4" w14:textId="77777777" w:rsidR="00575374" w:rsidRDefault="00575374" w:rsidP="00575374">
      <w:pPr>
        <w:tabs>
          <w:tab w:val="num" w:pos="720"/>
        </w:tabs>
      </w:pPr>
      <w:r>
        <w:t xml:space="preserve">Willingham suggests that teachers should select the priority skills to teach pupils, highlighting that the 13 years that pupils are in education is not sufficient to cover them all (Willingham, 2019, p. 12). This is likely to vary between different contexts and phases and even within subjects and should be tailored to meet individual needs.  </w:t>
      </w:r>
    </w:p>
    <w:p w14:paraId="7084BE00" w14:textId="77777777" w:rsidR="00575374" w:rsidRDefault="00575374" w:rsidP="00575374">
      <w:pPr>
        <w:tabs>
          <w:tab w:val="num" w:pos="720"/>
        </w:tabs>
      </w:pPr>
      <w:r>
        <w:t xml:space="preserve">Willingham shares </w:t>
      </w:r>
      <w:r w:rsidRPr="0001050A">
        <w:t xml:space="preserve">a </w:t>
      </w:r>
      <w:r w:rsidRPr="00D37843">
        <w:t>four-step plan to teach critical thinking</w:t>
      </w:r>
      <w:r>
        <w:t xml:space="preserve">. These can be considered as questions that a teacher could ask themselves: </w:t>
      </w:r>
    </w:p>
    <w:p w14:paraId="2F79F472" w14:textId="77777777" w:rsidR="00575374" w:rsidRDefault="00575374" w:rsidP="00575374">
      <w:pPr>
        <w:pStyle w:val="ListParagraph"/>
        <w:numPr>
          <w:ilvl w:val="0"/>
          <w:numId w:val="54"/>
        </w:numPr>
        <w:tabs>
          <w:tab w:val="num" w:pos="720"/>
        </w:tabs>
      </w:pPr>
      <w:r>
        <w:t xml:space="preserve">What are the </w:t>
      </w:r>
      <w:r w:rsidRPr="00D37843">
        <w:t xml:space="preserve">critical thinking skills specific to </w:t>
      </w:r>
      <w:r>
        <w:t xml:space="preserve">my particular subject discipline?  </w:t>
      </w:r>
    </w:p>
    <w:p w14:paraId="74A3895C" w14:textId="77777777" w:rsidR="00575374" w:rsidRDefault="00575374" w:rsidP="00575374">
      <w:pPr>
        <w:pStyle w:val="ListParagraph"/>
        <w:numPr>
          <w:ilvl w:val="0"/>
          <w:numId w:val="54"/>
        </w:numPr>
        <w:tabs>
          <w:tab w:val="num" w:pos="720"/>
        </w:tabs>
      </w:pPr>
      <w:r w:rsidRPr="001F486E">
        <w:t xml:space="preserve">What </w:t>
      </w:r>
      <w:r>
        <w:t xml:space="preserve">subject matter </w:t>
      </w:r>
      <w:r w:rsidRPr="001F486E">
        <w:t xml:space="preserve">knowledge is essential to the type of thinking </w:t>
      </w:r>
      <w:r>
        <w:t>I</w:t>
      </w:r>
      <w:r w:rsidRPr="001F486E">
        <w:t xml:space="preserve"> want </w:t>
      </w:r>
      <w:r>
        <w:t>my</w:t>
      </w:r>
      <w:r w:rsidRPr="001F486E">
        <w:t xml:space="preserve"> </w:t>
      </w:r>
      <w:r>
        <w:t>pupils</w:t>
      </w:r>
      <w:r w:rsidRPr="001F486E">
        <w:t xml:space="preserve"> to do? </w:t>
      </w:r>
    </w:p>
    <w:p w14:paraId="40D9875B" w14:textId="77777777" w:rsidR="00575374" w:rsidRDefault="00575374" w:rsidP="00575374">
      <w:pPr>
        <w:pStyle w:val="ListParagraph"/>
        <w:numPr>
          <w:ilvl w:val="0"/>
          <w:numId w:val="54"/>
        </w:numPr>
        <w:tabs>
          <w:tab w:val="num" w:pos="720"/>
        </w:tabs>
      </w:pPr>
      <w:r>
        <w:t>How should I sequence the learning to ensure pupils can develop their thinking skills by building on what they already know?</w:t>
      </w:r>
    </w:p>
    <w:p w14:paraId="742A8E7D" w14:textId="77777777" w:rsidR="00575374" w:rsidRPr="00D37843" w:rsidRDefault="00575374" w:rsidP="00575374">
      <w:pPr>
        <w:pStyle w:val="ListParagraph"/>
        <w:numPr>
          <w:ilvl w:val="0"/>
          <w:numId w:val="54"/>
        </w:numPr>
        <w:tabs>
          <w:tab w:val="num" w:pos="720"/>
        </w:tabs>
      </w:pPr>
      <w:r>
        <w:t>How and when will the curriculum provide opportunities for pupils to revisit these</w:t>
      </w:r>
      <w:r w:rsidRPr="00D37843">
        <w:t xml:space="preserve"> skills</w:t>
      </w:r>
      <w:r>
        <w:t>?</w:t>
      </w:r>
    </w:p>
    <w:p w14:paraId="1FA948D9" w14:textId="77777777" w:rsidR="00575374" w:rsidRDefault="00575374" w:rsidP="00575374">
      <w:r w:rsidRPr="009E079C">
        <w:t>(Adapted from Willingham, 2</w:t>
      </w:r>
      <w:r>
        <w:t>019)</w:t>
      </w:r>
    </w:p>
    <w:p w14:paraId="3C5C74FD" w14:textId="77777777" w:rsidR="00575374" w:rsidRPr="00161996" w:rsidRDefault="00575374" w:rsidP="00575374">
      <w:pPr>
        <w:pStyle w:val="Subheading"/>
        <w:rPr>
          <w:color w:val="auto"/>
        </w:rPr>
      </w:pPr>
      <w:r w:rsidRPr="00161996">
        <w:rPr>
          <w:color w:val="auto"/>
        </w:rPr>
        <w:t>The difficulty of transferring knowledge </w:t>
      </w:r>
    </w:p>
    <w:p w14:paraId="4200E4AD" w14:textId="77777777" w:rsidR="00575374" w:rsidRPr="00CB1EA4" w:rsidRDefault="00575374" w:rsidP="00575374">
      <w:r w:rsidRPr="00931B7C">
        <w:t xml:space="preserve">When thinking about supporting pupils to build increasingly complex mental models, it is important to </w:t>
      </w:r>
      <w:r>
        <w:t>remember</w:t>
      </w:r>
      <w:r w:rsidRPr="00931B7C">
        <w:t xml:space="preserve"> that pupils are likely to struggle to transfer what has been learnt in one discipline to a new or unfamiliar context</w:t>
      </w:r>
      <w:r>
        <w:t xml:space="preserve"> </w:t>
      </w:r>
      <w:r>
        <w:rPr>
          <w:lang w:val="en-US"/>
        </w:rPr>
        <w:t>(Willingham, 2019)</w:t>
      </w:r>
      <w:r w:rsidRPr="00CB1EA4">
        <w:rPr>
          <w:lang w:val="en-US"/>
        </w:rPr>
        <w:t>. </w:t>
      </w:r>
      <w:r>
        <w:rPr>
          <w:lang w:val="en-US"/>
        </w:rPr>
        <w:t>You will explore transfer in more detail when you look at Reading 3.</w:t>
      </w:r>
      <w:r w:rsidRPr="00CB1EA4">
        <w:t> </w:t>
      </w:r>
    </w:p>
    <w:p w14:paraId="3751A7BA" w14:textId="77777777" w:rsidR="00575374" w:rsidRDefault="00575374" w:rsidP="00575374">
      <w:r>
        <w:t xml:space="preserve">Willingham suggests that one cause could be pupils’ inability to see a new problem and recognise how it links to ones they have previously solved (Willingham, 2019). In other words, pupils look only at the surface-level problem in front of them, rather than the deeper structure they may have experienced before. </w:t>
      </w:r>
    </w:p>
    <w:p w14:paraId="632C7C4D" w14:textId="77777777" w:rsidR="0064563B" w:rsidRDefault="0064563B" w:rsidP="0064563B">
      <w:pPr>
        <w:pStyle w:val="Subheading"/>
      </w:pPr>
    </w:p>
    <w:p w14:paraId="3B173745" w14:textId="77777777" w:rsidR="0064563B" w:rsidRDefault="0064563B" w:rsidP="0064563B">
      <w:pPr>
        <w:pStyle w:val="Subheading"/>
      </w:pPr>
    </w:p>
    <w:p w14:paraId="72275C44" w14:textId="77777777" w:rsidR="0064563B" w:rsidRDefault="0064563B" w:rsidP="0064563B">
      <w:pPr>
        <w:pStyle w:val="Subheading"/>
      </w:pPr>
    </w:p>
    <w:p w14:paraId="35841991" w14:textId="77777777" w:rsidR="0064563B" w:rsidRDefault="0064563B" w:rsidP="0064563B">
      <w:pPr>
        <w:pStyle w:val="Subheading"/>
      </w:pPr>
    </w:p>
    <w:p w14:paraId="19732F44" w14:textId="6B6ABBBB" w:rsidR="007D5B40" w:rsidRDefault="007D5B40" w:rsidP="0064563B">
      <w:pPr>
        <w:pStyle w:val="Subheading"/>
        <w:numPr>
          <w:ilvl w:val="0"/>
          <w:numId w:val="41"/>
        </w:numPr>
      </w:pPr>
      <w:r>
        <w:lastRenderedPageBreak/>
        <w:t xml:space="preserve">Summary of research papers </w:t>
      </w:r>
    </w:p>
    <w:p w14:paraId="2A74B169" w14:textId="702A3F57" w:rsidR="000E5F53" w:rsidRDefault="00E41753" w:rsidP="00A52E17">
      <w:r>
        <w:t>Early Career Teachers have read these summaries</w:t>
      </w:r>
      <w:r w:rsidR="000E2C86">
        <w:t xml:space="preserve"> as part of their self-study</w:t>
      </w:r>
      <w:r>
        <w:t>. You may wish to</w:t>
      </w:r>
      <w:r w:rsidR="000E2C86">
        <w:t xml:space="preserve"> read them </w:t>
      </w:r>
      <w:r w:rsidR="00F47A9F">
        <w:t>before</w:t>
      </w:r>
      <w:r w:rsidR="00761550">
        <w:t xml:space="preserve"> your first mentor </w:t>
      </w:r>
      <w:r w:rsidR="00F47A9F">
        <w:t xml:space="preserve">meeting </w:t>
      </w:r>
      <w:r w:rsidR="00761550">
        <w:t xml:space="preserve">to guide your discussion on which reading they will explore further </w:t>
      </w:r>
      <w:r w:rsidR="0000159B">
        <w:t xml:space="preserve">this half-term. </w:t>
      </w:r>
    </w:p>
    <w:tbl>
      <w:tblPr>
        <w:tblStyle w:val="TableGrid1"/>
        <w:tblW w:w="8844" w:type="dxa"/>
        <w:tblLook w:val="04A0" w:firstRow="1" w:lastRow="0" w:firstColumn="1" w:lastColumn="0" w:noHBand="0" w:noVBand="1"/>
      </w:tblPr>
      <w:tblGrid>
        <w:gridCol w:w="2948"/>
        <w:gridCol w:w="2948"/>
        <w:gridCol w:w="2948"/>
      </w:tblGrid>
      <w:tr w:rsidR="00DF239C" w14:paraId="08ED595D" w14:textId="77777777" w:rsidTr="00DF239C">
        <w:tc>
          <w:tcPr>
            <w:tcW w:w="2948" w:type="dxa"/>
          </w:tcPr>
          <w:p w14:paraId="5DCE2BA7" w14:textId="5D93AA0F" w:rsidR="00DF239C" w:rsidRDefault="00DF239C" w:rsidP="0000159B">
            <w:pPr>
              <w:pStyle w:val="Subheading"/>
              <w:jc w:val="center"/>
            </w:pPr>
            <w:hyperlink w:anchor="R1" w:history="1">
              <w:r w:rsidRPr="0000159B">
                <w:rPr>
                  <w:rStyle w:val="Hyperlink"/>
                  <w:rFonts w:eastAsiaTheme="minorEastAsia"/>
                  <w:spacing w:val="0"/>
                  <w:kern w:val="0"/>
                </w:rPr>
                <w:t>Reading 1</w:t>
              </w:r>
            </w:hyperlink>
          </w:p>
        </w:tc>
        <w:tc>
          <w:tcPr>
            <w:tcW w:w="2948" w:type="dxa"/>
          </w:tcPr>
          <w:p w14:paraId="496D8580" w14:textId="4A89D59A" w:rsidR="00DF239C" w:rsidRDefault="00DF239C" w:rsidP="0000159B">
            <w:pPr>
              <w:pStyle w:val="Subheading"/>
              <w:jc w:val="center"/>
            </w:pPr>
            <w:hyperlink w:anchor="R2" w:history="1">
              <w:r w:rsidRPr="00DD4358">
                <w:rPr>
                  <w:rStyle w:val="Hyperlink"/>
                  <w:rFonts w:eastAsiaTheme="minorEastAsia"/>
                  <w:spacing w:val="0"/>
                  <w:kern w:val="0"/>
                </w:rPr>
                <w:t>Reading 2</w:t>
              </w:r>
            </w:hyperlink>
          </w:p>
        </w:tc>
        <w:tc>
          <w:tcPr>
            <w:tcW w:w="2948" w:type="dxa"/>
          </w:tcPr>
          <w:p w14:paraId="09A7658E" w14:textId="797AB313" w:rsidR="00DF239C" w:rsidRDefault="00DF239C" w:rsidP="0000159B">
            <w:pPr>
              <w:pStyle w:val="Subheading"/>
              <w:jc w:val="center"/>
            </w:pPr>
            <w:hyperlink w:anchor="R3" w:history="1">
              <w:r w:rsidRPr="00DD4358">
                <w:rPr>
                  <w:rStyle w:val="Hyperlink"/>
                  <w:rFonts w:eastAsiaTheme="minorEastAsia"/>
                  <w:spacing w:val="0"/>
                  <w:kern w:val="0"/>
                </w:rPr>
                <w:t>Readi</w:t>
              </w:r>
              <w:r w:rsidRPr="00DD4358">
                <w:rPr>
                  <w:rStyle w:val="Hyperlink"/>
                </w:rPr>
                <w:t>ng 3</w:t>
              </w:r>
            </w:hyperlink>
          </w:p>
        </w:tc>
      </w:tr>
    </w:tbl>
    <w:p w14:paraId="0F3EC5A5" w14:textId="77777777" w:rsidR="0000159B" w:rsidRPr="007D5B40" w:rsidRDefault="0000159B" w:rsidP="00A52E17"/>
    <w:tbl>
      <w:tblPr>
        <w:tblStyle w:val="TableGrid1"/>
        <w:tblW w:w="0" w:type="auto"/>
        <w:tblLook w:val="04A0" w:firstRow="1" w:lastRow="0" w:firstColumn="1" w:lastColumn="0" w:noHBand="0" w:noVBand="1"/>
      </w:tblPr>
      <w:tblGrid>
        <w:gridCol w:w="8996"/>
      </w:tblGrid>
      <w:tr w:rsidR="008C6C41" w14:paraId="3DC9F745" w14:textId="77777777" w:rsidTr="007A036D">
        <w:tc>
          <w:tcPr>
            <w:tcW w:w="8996" w:type="dxa"/>
          </w:tcPr>
          <w:p w14:paraId="2A26BFF5" w14:textId="77777777" w:rsidR="00D944B9" w:rsidRPr="00B43575" w:rsidRDefault="00D944B9" w:rsidP="00D944B9">
            <w:pPr>
              <w:pStyle w:val="Subheading"/>
              <w:rPr>
                <w:i/>
                <w:iCs/>
              </w:rPr>
            </w:pPr>
            <w:bookmarkStart w:id="11" w:name="R1"/>
            <w:r w:rsidRPr="001C5BD0">
              <w:t>Reading 1</w:t>
            </w:r>
            <w:bookmarkEnd w:id="11"/>
            <w:r w:rsidRPr="001C5BD0">
              <w:t>:</w:t>
            </w:r>
            <w:r w:rsidRPr="00824456">
              <w:t xml:space="preserve"> </w:t>
            </w:r>
            <w:r w:rsidRPr="00404027">
              <w:t>Ask the Cognitive Scientist.  Inflexible Knowledge: the first step to expertise</w:t>
            </w:r>
            <w:r w:rsidRPr="00B43575">
              <w:rPr>
                <w:i/>
                <w:iCs/>
              </w:rPr>
              <w:t> </w:t>
            </w:r>
          </w:p>
          <w:p w14:paraId="2B9ED739" w14:textId="77777777" w:rsidR="00D944B9" w:rsidRPr="001C5BD0" w:rsidRDefault="00D944B9" w:rsidP="00D944B9">
            <w:pPr>
              <w:pStyle w:val="Subheading"/>
            </w:pPr>
            <w:r w:rsidRPr="00B43575">
              <w:rPr>
                <w:lang w:val="en-US"/>
              </w:rPr>
              <w:t>Daniel T Willingham (2002)</w:t>
            </w:r>
          </w:p>
          <w:p w14:paraId="7815E058" w14:textId="77777777" w:rsidR="00575374" w:rsidRDefault="00D944B9" w:rsidP="00D944B9">
            <w:pPr>
              <w:rPr>
                <w:lang w:val="en-US"/>
              </w:rPr>
            </w:pPr>
            <w:r w:rsidRPr="00FB5E95">
              <w:t>Willingham distinguishes between three types of knowledge: rote, inflexible, and flexible. Rote knowledge involves memorising facts without understanding their meaning, akin to reciting words without context. Inflexible knowledge refers to understanding concepts in a narrow context, where students can apply knowledge only within the specific scenario in which it was learned. This type of knowledge, though limited, is foundational and essential for developing expertise. Flexible knowledge, by contrast, allows students to apply concepts to new and varied situations, indicating a deeper understanding. Willingham emphasises that while rote learning is inadequate for complex problem-solving, inflexible knowledge is a necessary step toward expertise. Over time, through exposure to increasingly challenging problems and making connections between them, students develop flexible knowledge. Teachers and educators can foster this progression by using diverse examples, encouraging deeper thinking, and gradually increasing the complexity of problems to help students build a robust, flexible understanding of concepts.</w:t>
            </w:r>
            <w:r w:rsidRPr="00FB5E95">
              <w:rPr>
                <w:lang w:val="en-US"/>
              </w:rPr>
              <w:t>​</w:t>
            </w:r>
          </w:p>
          <w:p w14:paraId="68CDE4A8" w14:textId="7EA0C0EB" w:rsidR="00071329" w:rsidRPr="008F0770" w:rsidRDefault="00071329" w:rsidP="00D944B9">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399CF3D3" w14:textId="105D8B09" w:rsidR="00A36A8C" w:rsidRDefault="00A36A8C"/>
    <w:tbl>
      <w:tblPr>
        <w:tblStyle w:val="TableGrid1"/>
        <w:tblW w:w="0" w:type="auto"/>
        <w:tblLook w:val="04A0" w:firstRow="1" w:lastRow="0" w:firstColumn="1" w:lastColumn="0" w:noHBand="0" w:noVBand="1"/>
      </w:tblPr>
      <w:tblGrid>
        <w:gridCol w:w="8996"/>
      </w:tblGrid>
      <w:tr w:rsidR="008C6C41" w14:paraId="5FEE6725" w14:textId="77777777" w:rsidTr="00673EF0">
        <w:tc>
          <w:tcPr>
            <w:tcW w:w="8996" w:type="dxa"/>
          </w:tcPr>
          <w:p w14:paraId="16A37BB0" w14:textId="77777777" w:rsidR="00AB422B" w:rsidRPr="006B6163" w:rsidRDefault="00AB422B" w:rsidP="00AB422B">
            <w:pPr>
              <w:pStyle w:val="Subheading"/>
              <w:rPr>
                <w:i/>
                <w:iCs/>
              </w:rPr>
            </w:pPr>
            <w:bookmarkStart w:id="12" w:name="R2"/>
            <w:r w:rsidRPr="001C5BD0">
              <w:t>Reading 2:</w:t>
            </w:r>
            <w:r>
              <w:t xml:space="preserve"> </w:t>
            </w:r>
            <w:bookmarkEnd w:id="12"/>
            <w:r w:rsidRPr="00404027">
              <w:t>Belief in Corrective Feedback for Common Misconceptions: Implications for Knowledge Revision</w:t>
            </w:r>
            <w:r w:rsidRPr="006B6163">
              <w:rPr>
                <w:i/>
                <w:iCs/>
              </w:rPr>
              <w:t> </w:t>
            </w:r>
          </w:p>
          <w:p w14:paraId="18CCD73F" w14:textId="77777777" w:rsidR="00AB422B" w:rsidRPr="006B6163" w:rsidRDefault="00AB422B" w:rsidP="00AB422B">
            <w:pPr>
              <w:pStyle w:val="Subheading"/>
            </w:pPr>
            <w:r w:rsidRPr="006B6163">
              <w:t>Patrick R. Rich, Mariëtte H. Van Loon, John Dunlosky, and Maria S. Zaragoza (2017)</w:t>
            </w:r>
          </w:p>
          <w:p w14:paraId="056A4A3B" w14:textId="77777777" w:rsidR="00AB422B" w:rsidRDefault="00AB422B" w:rsidP="00AB422B">
            <w:r w:rsidRPr="00C45075">
              <w:t xml:space="preserve">Rich et al. explore how to address misconceptions in the classroom, focusing on the effectiveness of corrective feedback and explanations. Misconceptions are common incorrect beliefs about how the world works. Teachers often try to </w:t>
            </w:r>
            <w:r w:rsidRPr="00C45075">
              <w:lastRenderedPageBreak/>
              <w:t xml:space="preserve">correct these by either simply stating that a belief is wrong or by providing explanations that clarify why it is wrong. </w:t>
            </w:r>
            <w:r w:rsidRPr="00145655">
              <w:t xml:space="preserve">Research by Rich et al. (2017) examined whether giving these explanations, or ‘refutations’ </w:t>
            </w:r>
            <w:r>
              <w:t>(</w:t>
            </w:r>
            <w:r w:rsidRPr="00145655">
              <w:t>short statements that directly challenge a misconception and explain why it is incorrect</w:t>
            </w:r>
            <w:r>
              <w:t>)</w:t>
            </w:r>
            <w:r w:rsidRPr="00145655">
              <w:t xml:space="preserve"> improves pupils' ability to correct their misconceptions and how much this depends on their willingness to believe the feedback.</w:t>
            </w:r>
          </w:p>
          <w:p w14:paraId="20ABE2D8" w14:textId="77777777" w:rsidR="00D735E5" w:rsidRDefault="00AB422B" w:rsidP="00AB422B">
            <w:r w:rsidRPr="005C5D2C">
              <w:t>In the</w:t>
            </w:r>
            <w:r>
              <w:t>ir</w:t>
            </w:r>
            <w:r w:rsidRPr="005C5D2C">
              <w:t xml:space="preserve"> study, university students answered true–false questions based on common misconceptions and then received corrective feedback: some were simply told whether they were right or wrong, while others were given explanations. A week later, those who received explanations performed better, particularly when they accepted the feedback, as the explanations increased this acceptance. The findings suggest that misconceptions are corrected more effectively when feedback includes clear explanations that help pupils understand why their original belief was incorrect.</w:t>
            </w:r>
          </w:p>
          <w:p w14:paraId="4CAE909B" w14:textId="380B32E2" w:rsidR="003C2001" w:rsidRPr="00071329" w:rsidRDefault="00D53B22" w:rsidP="00AB422B">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7FC0A43A" w14:textId="77777777" w:rsidR="006D3063" w:rsidRDefault="006D3063"/>
    <w:tbl>
      <w:tblPr>
        <w:tblStyle w:val="TableGrid1"/>
        <w:tblW w:w="0" w:type="auto"/>
        <w:tblLook w:val="04A0" w:firstRow="1" w:lastRow="0" w:firstColumn="1" w:lastColumn="0" w:noHBand="0" w:noVBand="1"/>
      </w:tblPr>
      <w:tblGrid>
        <w:gridCol w:w="8996"/>
      </w:tblGrid>
      <w:tr w:rsidR="008C6C41" w14:paraId="0D21027C" w14:textId="77777777" w:rsidTr="00673EF0">
        <w:tc>
          <w:tcPr>
            <w:tcW w:w="8996" w:type="dxa"/>
          </w:tcPr>
          <w:p w14:paraId="00C33317" w14:textId="77777777" w:rsidR="00D735E5" w:rsidRPr="001C5BD0" w:rsidRDefault="00D735E5" w:rsidP="00D735E5">
            <w:pPr>
              <w:pStyle w:val="Subheading"/>
            </w:pPr>
            <w:bookmarkStart w:id="13" w:name="R3"/>
            <w:r w:rsidRPr="001C5BD0">
              <w:t xml:space="preserve">Reading 3: </w:t>
            </w:r>
            <w:r w:rsidRPr="00404027">
              <w:t xml:space="preserve">How </w:t>
            </w:r>
            <w:bookmarkEnd w:id="13"/>
            <w:r w:rsidRPr="00404027">
              <w:t>to teach critical thinking</w:t>
            </w:r>
            <w:r w:rsidRPr="001C5BD0">
              <w:t>  </w:t>
            </w:r>
          </w:p>
          <w:p w14:paraId="5B8BB286" w14:textId="77777777" w:rsidR="00D735E5" w:rsidRPr="006B6163" w:rsidRDefault="00D735E5" w:rsidP="00D735E5">
            <w:pPr>
              <w:pStyle w:val="Subheading"/>
            </w:pPr>
            <w:r w:rsidRPr="006B6163">
              <w:rPr>
                <w:lang w:val="en-US"/>
              </w:rPr>
              <w:t>Daniel T Willingham (2019)</w:t>
            </w:r>
          </w:p>
          <w:p w14:paraId="194CAF3A" w14:textId="77777777" w:rsidR="00D735E5" w:rsidRDefault="00D735E5" w:rsidP="00D735E5">
            <w:r w:rsidRPr="0081377A">
              <w:t xml:space="preserve">In his paper, Professor Daniel Willingham examines the research on effectively teaching critical thinking in schools. He emphasises the universal importance of critical thinking for a free society, defining it as </w:t>
            </w:r>
            <w:r>
              <w:t>‘</w:t>
            </w:r>
            <w:r w:rsidRPr="0081377A">
              <w:t>successful thinking</w:t>
            </w:r>
            <w:r>
              <w:t>’</w:t>
            </w:r>
            <w:r w:rsidRPr="0081377A">
              <w:t>.</w:t>
            </w:r>
            <w:r>
              <w:t xml:space="preserve"> </w:t>
            </w:r>
            <w:r w:rsidRPr="0081377A">
              <w:t xml:space="preserve">Willingham explores whether critical thinking can be taught as a general skill, noting that while there are some examples of success, they are not from schools, particularly not in the UK. </w:t>
            </w:r>
          </w:p>
          <w:p w14:paraId="2DEAFC45" w14:textId="77777777" w:rsidR="00D735E5" w:rsidRPr="0081377A" w:rsidRDefault="00D735E5" w:rsidP="00D735E5">
            <w:r w:rsidRPr="0081377A">
              <w:t xml:space="preserve">The concept of </w:t>
            </w:r>
            <w:r>
              <w:t>‘</w:t>
            </w:r>
            <w:r w:rsidRPr="0081377A">
              <w:t>transfer</w:t>
            </w:r>
            <w:r>
              <w:t>’ (</w:t>
            </w:r>
            <w:r w:rsidRPr="0081377A">
              <w:t>the ability to apply critical thinking learned in one context to another</w:t>
            </w:r>
            <w:r>
              <w:t xml:space="preserve">) </w:t>
            </w:r>
            <w:r w:rsidRPr="0081377A">
              <w:t>is crucial but has shown mixed results. A 2018 meta-analysis found that such transfer is more likely within related disciplines (e.g., mathematics and computing) but less so in unrelated fields.</w:t>
            </w:r>
          </w:p>
          <w:p w14:paraId="2ADC9F63" w14:textId="77777777" w:rsidR="00D735E5" w:rsidRPr="0081377A" w:rsidRDefault="00D735E5" w:rsidP="00D735E5">
            <w:r w:rsidRPr="003616B0">
              <w:t>Willingham argues that critical thinking is domain-specific, meaning that skills in one subject may not easily transfer to another because pupils often focus on the surface structure (the obvious, context-specific features of a task) rather than the deep structure (the underlying principle needed to solve it)</w:t>
            </w:r>
            <w:r w:rsidRPr="0081377A">
              <w:t>. However, with sufficient practice, students can learn to identify deep structures, making critical thinking more applicable across contexts.</w:t>
            </w:r>
          </w:p>
          <w:p w14:paraId="2B9972FD" w14:textId="3E07C94C" w:rsidR="000600C8" w:rsidRPr="001E4493" w:rsidRDefault="00D735E5" w:rsidP="00D735E5">
            <w:pPr>
              <w:rPr>
                <w:b/>
                <w:bCs/>
              </w:rPr>
            </w:pPr>
            <w:r w:rsidRPr="0081377A">
              <w:t xml:space="preserve">Willingham concludes that while there is limited evidence for teaching general critical thinking skills, specific skills within subject domains can be effectively </w:t>
            </w:r>
            <w:r w:rsidRPr="0081377A">
              <w:lastRenderedPageBreak/>
              <w:t xml:space="preserve">taught. </w:t>
            </w:r>
            <w:r w:rsidRPr="00FA2C3C">
              <w:t>He advocates for explicit instruction in critical thinking, tailored to different subjects. He also stresses that critical thinking should be taught to all pupils, starting with age-appropriate methods and extending across all ability levels.</w:t>
            </w:r>
          </w:p>
          <w:p w14:paraId="4B516874" w14:textId="2DEF6239" w:rsidR="00717A0D" w:rsidRPr="00DF239C" w:rsidRDefault="00D53B22" w:rsidP="00D53B22">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4511EE2B" w14:textId="7D8978FC" w:rsidR="006D3063" w:rsidRPr="00263F50" w:rsidRDefault="006D3063" w:rsidP="00263F50">
      <w:pPr>
        <w:rPr>
          <w:rFonts w:ascii="Tahoma" w:hAnsi="Tahoma"/>
        </w:rPr>
      </w:pPr>
    </w:p>
    <w:p w14:paraId="48F48B58" w14:textId="77777777" w:rsidR="0030769B" w:rsidRDefault="0030769B" w:rsidP="00957A93">
      <w:pPr>
        <w:pStyle w:val="Heading"/>
      </w:pPr>
    </w:p>
    <w:p w14:paraId="67D07BBF" w14:textId="77777777" w:rsidR="00826703" w:rsidRDefault="00826703" w:rsidP="00826703">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57105075" w14:textId="0BA58448" w:rsidR="0030769B" w:rsidRDefault="0030769B">
      <w:pPr>
        <w:spacing w:before="0" w:after="200"/>
        <w:jc w:val="both"/>
        <w:rPr>
          <w:rFonts w:ascii="Tahoma" w:hAnsi="Tahoma" w:cs="Tahoma"/>
          <w:b/>
          <w:bCs/>
          <w:color w:val="004B62" w:themeColor="text1"/>
          <w:sz w:val="28"/>
          <w:szCs w:val="28"/>
        </w:rPr>
      </w:pPr>
      <w:r>
        <w:br w:type="page"/>
      </w:r>
    </w:p>
    <w:p w14:paraId="4EDEB0E3" w14:textId="1C6863EA" w:rsidR="009244E7" w:rsidRDefault="006D3063" w:rsidP="009244E7">
      <w:pPr>
        <w:pStyle w:val="Heading"/>
      </w:pPr>
      <w:bookmarkStart w:id="14" w:name="Section2"/>
      <w:r>
        <w:lastRenderedPageBreak/>
        <w:t xml:space="preserve">Section 2: </w:t>
      </w:r>
      <w:bookmarkEnd w:id="14"/>
      <w:r w:rsidR="00957A93" w:rsidRPr="00673EF0">
        <w:t>Overview of the Personal Professional Development Cycle</w:t>
      </w:r>
      <w:r w:rsidR="009244E7">
        <w:t xml:space="preserve"> </w:t>
      </w:r>
    </w:p>
    <w:p w14:paraId="7540A390" w14:textId="5EDC6C6F" w:rsidR="00DB2817" w:rsidRDefault="00DB2817" w:rsidP="00DB2817">
      <w:r>
        <w:t xml:space="preserve">The </w:t>
      </w:r>
      <w:r w:rsidR="006317E5">
        <w:t xml:space="preserve">Personal Professional Development Cycle </w:t>
      </w:r>
      <w:r>
        <w:t xml:space="preserve">replaces the weekly actions </w:t>
      </w:r>
      <w:r w:rsidR="006317E5">
        <w:t>your ECT</w:t>
      </w:r>
      <w:r>
        <w:t xml:space="preserve"> had in Year 1.</w:t>
      </w:r>
      <w:r w:rsidR="001D222F">
        <w:t xml:space="preserve"> Their</w:t>
      </w:r>
      <w:r>
        <w:t xml:space="preserve"> self-study materials will still include some suggested actions to support </w:t>
      </w:r>
      <w:r w:rsidR="001D222F">
        <w:t>the</w:t>
      </w:r>
      <w:r>
        <w:t xml:space="preserve"> planning and delivery of the cycle</w:t>
      </w:r>
      <w:r w:rsidR="006374D6">
        <w:t xml:space="preserve">. </w:t>
      </w:r>
      <w:r w:rsidR="00384CEE">
        <w:t>However,</w:t>
      </w:r>
      <w:r>
        <w:t xml:space="preserve"> you should discuss what is most appropriate for your context and needs</w:t>
      </w:r>
      <w:r w:rsidR="001D222F">
        <w:t xml:space="preserve"> with your ECT</w:t>
      </w:r>
      <w:r>
        <w:t xml:space="preserve"> during your mentor meetings. </w:t>
      </w:r>
    </w:p>
    <w:p w14:paraId="4BCFD34F" w14:textId="23D62160" w:rsidR="00DB2817" w:rsidRPr="00A25EDA" w:rsidRDefault="00DB2817" w:rsidP="00DB2817">
      <w:r>
        <w:t xml:space="preserve">To ensure your mentor support is tailored to meet </w:t>
      </w:r>
      <w:r w:rsidR="001D222F">
        <w:t>your ECT’s</w:t>
      </w:r>
      <w:r>
        <w:t xml:space="preserve"> needs, each meeting will have a specific focus as seen in the diagram below: </w:t>
      </w:r>
    </w:p>
    <w:p w14:paraId="7EEA4B3F" w14:textId="77777777" w:rsidR="00DB2817" w:rsidRDefault="00DB2817" w:rsidP="00DB2817">
      <w:r w:rsidRPr="00A979BA">
        <w:rPr>
          <w:noProof/>
        </w:rPr>
        <w:drawing>
          <wp:anchor distT="0" distB="0" distL="114300" distR="114300" simplePos="0" relativeHeight="251658246" behindDoc="1" locked="0" layoutInCell="1" allowOverlap="1" wp14:anchorId="0BABE8C3" wp14:editId="2D99D720">
            <wp:simplePos x="0" y="0"/>
            <wp:positionH relativeFrom="column">
              <wp:posOffset>129035</wp:posOffset>
            </wp:positionH>
            <wp:positionV relativeFrom="paragraph">
              <wp:posOffset>125050</wp:posOffset>
            </wp:positionV>
            <wp:extent cx="5731510" cy="2386330"/>
            <wp:effectExtent l="0" t="0" r="0" b="0"/>
            <wp:wrapTight wrapText="bothSides">
              <wp:wrapPolygon edited="0">
                <wp:start x="9405" y="0"/>
                <wp:lineTo x="1508" y="1552"/>
                <wp:lineTo x="790" y="1897"/>
                <wp:lineTo x="790" y="8104"/>
                <wp:lineTo x="1292" y="8277"/>
                <wp:lineTo x="6677" y="8277"/>
                <wp:lineTo x="5672" y="11036"/>
                <wp:lineTo x="5743" y="13795"/>
                <wp:lineTo x="862" y="16209"/>
                <wp:lineTo x="790" y="20002"/>
                <wp:lineTo x="1077" y="21382"/>
                <wp:lineTo x="4595" y="21382"/>
                <wp:lineTo x="8902" y="21037"/>
                <wp:lineTo x="14000" y="20175"/>
                <wp:lineTo x="14071" y="16553"/>
                <wp:lineTo x="15794" y="13795"/>
                <wp:lineTo x="17087" y="13795"/>
                <wp:lineTo x="18164" y="12415"/>
                <wp:lineTo x="18092" y="8277"/>
                <wp:lineTo x="19240" y="8277"/>
                <wp:lineTo x="20174" y="7070"/>
                <wp:lineTo x="20102" y="2069"/>
                <wp:lineTo x="17805" y="1207"/>
                <wp:lineTo x="12277" y="0"/>
                <wp:lineTo x="9405" y="0"/>
              </wp:wrapPolygon>
            </wp:wrapTight>
            <wp:docPr id="5" name="Picture 4" descr="A diagram of a process&#10;&#10;AI-generated content may be incorrect.">
              <a:extLst xmlns:a="http://schemas.openxmlformats.org/drawingml/2006/main">
                <a:ext uri="{FF2B5EF4-FFF2-40B4-BE49-F238E27FC236}">
                  <a16:creationId xmlns:a16="http://schemas.microsoft.com/office/drawing/2014/main" id="{23D44AB5-1D9C-959F-2B4C-1CBC66458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process&#10;&#10;AI-generated content may be incorrect.">
                      <a:extLst>
                        <a:ext uri="{FF2B5EF4-FFF2-40B4-BE49-F238E27FC236}">
                          <a16:creationId xmlns:a16="http://schemas.microsoft.com/office/drawing/2014/main" id="{23D44AB5-1D9C-959F-2B4C-1CBC664586B7}"/>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31510" cy="2386330"/>
                    </a:xfrm>
                    <a:prstGeom prst="rect">
                      <a:avLst/>
                    </a:prstGeom>
                  </pic:spPr>
                </pic:pic>
              </a:graphicData>
            </a:graphic>
          </wp:anchor>
        </w:drawing>
      </w:r>
    </w:p>
    <w:p w14:paraId="7D55B003" w14:textId="77777777" w:rsidR="00DB2817" w:rsidRDefault="00DB2817" w:rsidP="00DB2817"/>
    <w:p w14:paraId="5B4E544E" w14:textId="77777777" w:rsidR="00DB2817" w:rsidRDefault="00DB2817" w:rsidP="00DB2817"/>
    <w:p w14:paraId="67051FDB" w14:textId="77777777" w:rsidR="00DB2817" w:rsidRDefault="00DB2817" w:rsidP="00DB2817"/>
    <w:p w14:paraId="4AA40780" w14:textId="77777777" w:rsidR="00DB2817" w:rsidRDefault="00DB2817" w:rsidP="00DB2817"/>
    <w:p w14:paraId="11C08568" w14:textId="77777777" w:rsidR="00DB2817" w:rsidRDefault="00DB2817" w:rsidP="00DB2817"/>
    <w:p w14:paraId="21CA9A56" w14:textId="77777777" w:rsidR="00DB2817" w:rsidRDefault="00DB2817" w:rsidP="00DB2817"/>
    <w:p w14:paraId="3B6EECCB" w14:textId="77777777" w:rsidR="00DA6A6C" w:rsidRDefault="00DA6A6C" w:rsidP="004B22AE">
      <w:pPr>
        <w:pStyle w:val="Subheading"/>
      </w:pPr>
      <w:r>
        <w:t>Meeting 1: Prepare and plan</w:t>
      </w:r>
    </w:p>
    <w:p w14:paraId="349364E7" w14:textId="1D402E63" w:rsidR="009A21DE" w:rsidRDefault="00975924" w:rsidP="00D331DD">
      <w:r>
        <w:t xml:space="preserve">You and your ECT will </w:t>
      </w:r>
      <w:r w:rsidRPr="00A25EDA">
        <w:rPr>
          <w:b/>
          <w:bCs/>
        </w:rPr>
        <w:t>explore</w:t>
      </w:r>
      <w:r w:rsidRPr="00A25EDA">
        <w:t xml:space="preserve"> </w:t>
      </w:r>
      <w:r>
        <w:t xml:space="preserve">the area for your ECT’s development this half-term relating to </w:t>
      </w:r>
      <w:r w:rsidR="00575374">
        <w:t>subject and curriculum</w:t>
      </w:r>
      <w:r w:rsidRPr="001330A5">
        <w:t>.</w:t>
      </w:r>
      <w:r>
        <w:t xml:space="preserve"> </w:t>
      </w:r>
      <w:r w:rsidR="00FC3212">
        <w:t xml:space="preserve">Prior to this meeting, your ECT </w:t>
      </w:r>
      <w:r w:rsidR="00AB1BB0">
        <w:t>should</w:t>
      </w:r>
      <w:r w:rsidR="00FC3212">
        <w:t xml:space="preserve"> have completed </w:t>
      </w:r>
      <w:r w:rsidR="00AB1BB0">
        <w:t>the first part of their self-study.</w:t>
      </w:r>
      <w:r w:rsidR="00504A88">
        <w:t xml:space="preserve"> </w:t>
      </w:r>
      <w:r w:rsidR="00AB1BB0">
        <w:t xml:space="preserve">This includes </w:t>
      </w:r>
      <w:r w:rsidR="0064563B">
        <w:t>the</w:t>
      </w:r>
      <w:r w:rsidR="00AB1BB0">
        <w:t xml:space="preserve"> </w:t>
      </w:r>
      <w:r w:rsidR="008A33DF">
        <w:t xml:space="preserve">three </w:t>
      </w:r>
      <w:r w:rsidR="00AB1BB0">
        <w:t xml:space="preserve">research summaries and a reflection task. </w:t>
      </w:r>
      <w:r w:rsidR="00BD5998">
        <w:t>You should also have conducted your first lesson observation</w:t>
      </w:r>
      <w:r w:rsidR="00BA6C00">
        <w:t>. Your discussion with your ECT will draw on:</w:t>
      </w:r>
    </w:p>
    <w:p w14:paraId="78CDF9DB" w14:textId="77777777" w:rsidR="009A21DE" w:rsidRDefault="00202F2A" w:rsidP="009A21DE">
      <w:pPr>
        <w:pStyle w:val="ListParagraph"/>
        <w:numPr>
          <w:ilvl w:val="0"/>
          <w:numId w:val="12"/>
        </w:numPr>
      </w:pPr>
      <w:r>
        <w:t xml:space="preserve">your week 1 observation data; </w:t>
      </w:r>
    </w:p>
    <w:p w14:paraId="7BF887FE" w14:textId="29C7000E" w:rsidR="009A21DE" w:rsidRDefault="00202F2A" w:rsidP="009A21DE">
      <w:pPr>
        <w:pStyle w:val="ListParagraph"/>
        <w:numPr>
          <w:ilvl w:val="0"/>
          <w:numId w:val="12"/>
        </w:numPr>
      </w:pPr>
      <w:r>
        <w:t xml:space="preserve">the </w:t>
      </w:r>
      <w:r w:rsidR="001F2783">
        <w:t>3</w:t>
      </w:r>
      <w:r>
        <w:t xml:space="preserve"> research summaries provided</w:t>
      </w:r>
      <w:r w:rsidR="009A21DE">
        <w:t xml:space="preserve"> (optional reading);</w:t>
      </w:r>
    </w:p>
    <w:p w14:paraId="4180A94F" w14:textId="4C94A14A" w:rsidR="009A21DE" w:rsidRDefault="009A21DE" w:rsidP="009A21DE">
      <w:pPr>
        <w:pStyle w:val="ListParagraph"/>
        <w:numPr>
          <w:ilvl w:val="0"/>
          <w:numId w:val="12"/>
        </w:numPr>
      </w:pPr>
      <w:r>
        <w:t>your ECT’s reflections</w:t>
      </w:r>
      <w:r w:rsidR="005D5AE2">
        <w:t xml:space="preserve"> from their self-study</w:t>
      </w:r>
      <w:r>
        <w:t xml:space="preserve">; </w:t>
      </w:r>
      <w:r w:rsidR="008E7A22">
        <w:t>and</w:t>
      </w:r>
    </w:p>
    <w:p w14:paraId="6C3147FF" w14:textId="5C2ED45C" w:rsidR="009A21DE" w:rsidRDefault="00FA740F" w:rsidP="009A21DE">
      <w:pPr>
        <w:pStyle w:val="ListParagraph"/>
        <w:numPr>
          <w:ilvl w:val="0"/>
          <w:numId w:val="12"/>
        </w:numPr>
      </w:pPr>
      <w:r>
        <w:t>any current targets they might have</w:t>
      </w:r>
      <w:r w:rsidR="008E7A22">
        <w:t xml:space="preserve">. </w:t>
      </w:r>
    </w:p>
    <w:p w14:paraId="2C179965" w14:textId="06D42BCD" w:rsidR="00D331DD" w:rsidRDefault="00D331DD" w:rsidP="009A21DE">
      <w:r w:rsidRPr="00A25EDA">
        <w:t>You</w:t>
      </w:r>
      <w:r>
        <w:t xml:space="preserve"> wi</w:t>
      </w:r>
      <w:r w:rsidRPr="00A25EDA">
        <w:t xml:space="preserve">ll then </w:t>
      </w:r>
      <w:r>
        <w:t xml:space="preserve">work alongside </w:t>
      </w:r>
      <w:r w:rsidR="003A5D7A">
        <w:t>them</w:t>
      </w:r>
      <w:r>
        <w:t xml:space="preserve"> to </w:t>
      </w:r>
      <w:r w:rsidR="00811DBE" w:rsidRPr="00811DBE">
        <w:rPr>
          <w:b/>
          <w:bCs/>
        </w:rPr>
        <w:t>select</w:t>
      </w:r>
      <w:r w:rsidR="00811DBE">
        <w:t xml:space="preserve"> which research will most support their development. Together you will </w:t>
      </w:r>
      <w:r w:rsidRPr="009A21DE">
        <w:rPr>
          <w:b/>
          <w:bCs/>
        </w:rPr>
        <w:t>plan</w:t>
      </w:r>
      <w:r w:rsidRPr="00A25EDA">
        <w:t xml:space="preserve"> how to implement thi</w:t>
      </w:r>
      <w:r w:rsidR="00FC3212">
        <w:t>s</w:t>
      </w:r>
      <w:r w:rsidRPr="00A25EDA">
        <w:t xml:space="preserve"> into </w:t>
      </w:r>
      <w:r w:rsidR="003A5D7A">
        <w:t>their</w:t>
      </w:r>
      <w:r w:rsidRPr="00A25EDA">
        <w:t xml:space="preserve"> teaching practice, within your context.</w:t>
      </w:r>
      <w:r>
        <w:t xml:space="preserve"> </w:t>
      </w:r>
    </w:p>
    <w:p w14:paraId="2106FA7F" w14:textId="03D3CD36" w:rsidR="00DA6A6C" w:rsidRDefault="00DA6A6C" w:rsidP="00DA6A6C">
      <w:r w:rsidRPr="00A238DB">
        <w:t xml:space="preserve">Early career teachers will </w:t>
      </w:r>
      <w:r>
        <w:t xml:space="preserve">then complete the </w:t>
      </w:r>
      <w:r w:rsidR="005D5AE2">
        <w:t>second part</w:t>
      </w:r>
      <w:r>
        <w:t xml:space="preserve"> of their self-study in which they’ll critically engage with their chosen research paper. The self-study will enable </w:t>
      </w:r>
      <w:r>
        <w:lastRenderedPageBreak/>
        <w:t xml:space="preserve">them to build on their prior learning and experience as they gain deeper insights in to what the underpinning evidence says.  </w:t>
      </w:r>
    </w:p>
    <w:p w14:paraId="20648E9C" w14:textId="190AA038" w:rsidR="00D331DD" w:rsidRDefault="00DA6A6C" w:rsidP="00D331DD">
      <w:r>
        <w:t>They will then put their</w:t>
      </w:r>
      <w:r w:rsidR="00D331DD">
        <w:t xml:space="preserve"> plan into practice, making notes and reflecting on the impact </w:t>
      </w:r>
      <w:r w:rsidR="003E482E">
        <w:t>then</w:t>
      </w:r>
      <w:r w:rsidR="00D331DD">
        <w:t xml:space="preserve"> making adjustments during the ‘</w:t>
      </w:r>
      <w:r w:rsidR="00D331DD" w:rsidRPr="001005BB">
        <w:rPr>
          <w:b/>
          <w:bCs/>
        </w:rPr>
        <w:t>do’</w:t>
      </w:r>
      <w:r w:rsidR="00D331DD">
        <w:t xml:space="preserve"> phase. </w:t>
      </w:r>
    </w:p>
    <w:p w14:paraId="402EB88F" w14:textId="77777777" w:rsidR="004B22AE" w:rsidRDefault="00D331DD" w:rsidP="004B22AE">
      <w:pPr>
        <w:pStyle w:val="Subheading"/>
      </w:pPr>
      <w:r>
        <w:t>Meeting 2</w:t>
      </w:r>
      <w:r w:rsidR="004B22AE">
        <w:t>: Review and adapt</w:t>
      </w:r>
    </w:p>
    <w:p w14:paraId="4CBFC51F" w14:textId="3D603273" w:rsidR="00D331DD" w:rsidRPr="00A25EDA" w:rsidRDefault="005D5AE2" w:rsidP="00D331DD">
      <w:r>
        <w:t>Prior to this meeting, you should complete</w:t>
      </w:r>
      <w:r w:rsidR="00BD5998">
        <w:t xml:space="preserve"> lesso</w:t>
      </w:r>
      <w:r w:rsidR="00FA740F">
        <w:t xml:space="preserve">n observation 2. </w:t>
      </w:r>
      <w:r w:rsidR="004B22AE">
        <w:t xml:space="preserve">You’ll </w:t>
      </w:r>
      <w:r w:rsidR="00D331DD" w:rsidRPr="001005BB">
        <w:rPr>
          <w:b/>
          <w:bCs/>
        </w:rPr>
        <w:t>review</w:t>
      </w:r>
      <w:r w:rsidR="00D331DD">
        <w:t xml:space="preserve"> the impact so far with your </w:t>
      </w:r>
      <w:r w:rsidR="00DA6A6C">
        <w:t>ECT</w:t>
      </w:r>
      <w:r w:rsidR="00D331DD">
        <w:t xml:space="preserve">, using </w:t>
      </w:r>
      <w:r w:rsidR="00DA6A6C">
        <w:t>their</w:t>
      </w:r>
      <w:r w:rsidR="00D331DD">
        <w:t xml:space="preserve"> reflections</w:t>
      </w:r>
      <w:r w:rsidR="00FA740F">
        <w:t>, your observation notes</w:t>
      </w:r>
      <w:r w:rsidR="00DA6A6C">
        <w:t xml:space="preserve"> and pupil data</w:t>
      </w:r>
      <w:r w:rsidR="00D331DD">
        <w:t xml:space="preserve"> to identify where possible changes may be required to ensure all pupils are making progress. </w:t>
      </w:r>
    </w:p>
    <w:p w14:paraId="73FA16EB" w14:textId="09B87772" w:rsidR="00D331DD" w:rsidRDefault="00DA6A6C" w:rsidP="00D331DD">
      <w:r>
        <w:t>ECT’s will then</w:t>
      </w:r>
      <w:r w:rsidR="00D331DD">
        <w:t xml:space="preserve"> </w:t>
      </w:r>
      <w:r w:rsidR="00D331DD" w:rsidRPr="007B7DF8">
        <w:rPr>
          <w:b/>
          <w:bCs/>
        </w:rPr>
        <w:t>re-do</w:t>
      </w:r>
      <w:r w:rsidR="00D331DD">
        <w:t xml:space="preserve"> the practice, again monitoring the impact and reflecting each step of the way. </w:t>
      </w:r>
    </w:p>
    <w:p w14:paraId="0A8DD4C5" w14:textId="77777777" w:rsidR="004B22AE" w:rsidRDefault="004B22AE" w:rsidP="004B22AE">
      <w:pPr>
        <w:pStyle w:val="Subheading"/>
      </w:pPr>
      <w:r>
        <w:t xml:space="preserve">Meeting </w:t>
      </w:r>
      <w:r w:rsidR="00D331DD">
        <w:t>3</w:t>
      </w:r>
      <w:r>
        <w:t>: Final review and next steps</w:t>
      </w:r>
    </w:p>
    <w:p w14:paraId="5C4E1B59" w14:textId="741775D7" w:rsidR="00D331DD" w:rsidRPr="00A25EDA" w:rsidRDefault="00A05AE2" w:rsidP="00D331DD">
      <w:r>
        <w:t xml:space="preserve">Before the </w:t>
      </w:r>
      <w:r w:rsidR="004B22AE">
        <w:t xml:space="preserve">end of the cycle, </w:t>
      </w:r>
      <w:r>
        <w:t>you’ll conduct your final observation of the term. You</w:t>
      </w:r>
      <w:r w:rsidR="004B22AE">
        <w:t xml:space="preserve">’ll </w:t>
      </w:r>
      <w:r w:rsidR="001A19B2">
        <w:t xml:space="preserve">then use this meeting to </w:t>
      </w:r>
      <w:r w:rsidR="00DA6A6C">
        <w:t xml:space="preserve">collaboratively </w:t>
      </w:r>
      <w:r w:rsidR="00D331DD" w:rsidRPr="00A25EDA">
        <w:rPr>
          <w:b/>
          <w:bCs/>
        </w:rPr>
        <w:t>review</w:t>
      </w:r>
      <w:r w:rsidR="00D331DD" w:rsidRPr="00A25EDA">
        <w:t xml:space="preserve"> and reflect on the experience </w:t>
      </w:r>
      <w:r w:rsidR="00D331DD">
        <w:t xml:space="preserve">of implementing the improvement </w:t>
      </w:r>
      <w:r w:rsidR="00D331DD" w:rsidRPr="00A25EDA">
        <w:t xml:space="preserve">to inform future adjustments and refinements in </w:t>
      </w:r>
      <w:r w:rsidR="00DA6A6C">
        <w:t>their</w:t>
      </w:r>
      <w:r w:rsidR="00D331DD" w:rsidRPr="00A25EDA">
        <w:t xml:space="preserve"> teaching practice.</w:t>
      </w:r>
    </w:p>
    <w:p w14:paraId="30B03C35" w14:textId="573B6A94" w:rsidR="000A0242" w:rsidRDefault="000A0242" w:rsidP="00D331DD">
      <w:pPr>
        <w:pStyle w:val="Subheading"/>
        <w:rPr>
          <w:lang w:val="en-US"/>
        </w:rPr>
      </w:pPr>
    </w:p>
    <w:bookmarkStart w:id="15" w:name="Applying"/>
    <w:bookmarkEnd w:id="15"/>
    <w:p w14:paraId="141432CA" w14:textId="77777777" w:rsidR="00B66291" w:rsidRDefault="00F5264D" w:rsidP="003B5F3C">
      <w:pPr>
        <w:pStyle w:val="Subheading"/>
      </w:pPr>
      <w:r>
        <w:fldChar w:fldCharType="begin"/>
      </w:r>
      <w:r>
        <w:instrText>HYPERLINK \l "Content"</w:instrText>
      </w:r>
      <w:r>
        <w:fldChar w:fldCharType="separate"/>
      </w:r>
      <w:r w:rsidRPr="00AA57D3">
        <w:rPr>
          <w:rStyle w:val="Hyperlink"/>
        </w:rPr>
        <w:t>Click h</w:t>
      </w:r>
      <w:bookmarkStart w:id="16" w:name="_Hlt161149832"/>
      <w:r w:rsidRPr="00AA57D3">
        <w:rPr>
          <w:rStyle w:val="Hyperlink"/>
        </w:rPr>
        <w:t>e</w:t>
      </w:r>
      <w:bookmarkEnd w:id="16"/>
      <w:r w:rsidRPr="00AA57D3">
        <w:rPr>
          <w:rStyle w:val="Hyperlink"/>
        </w:rPr>
        <w:t>re to return to the content</w:t>
      </w:r>
      <w:r w:rsidR="0097541D">
        <w:rPr>
          <w:rStyle w:val="Hyperlink"/>
        </w:rPr>
        <w:t>s</w:t>
      </w:r>
      <w:r w:rsidRPr="00AA57D3">
        <w:rPr>
          <w:rStyle w:val="Hyperlink"/>
        </w:rPr>
        <w:t xml:space="preserve"> page.</w:t>
      </w:r>
      <w:r>
        <w:fldChar w:fldCharType="end"/>
      </w:r>
    </w:p>
    <w:p w14:paraId="54C3EA94" w14:textId="77777777" w:rsidR="00B66291" w:rsidRDefault="00B66291" w:rsidP="003B5F3C">
      <w:pPr>
        <w:pStyle w:val="Subheading"/>
      </w:pPr>
    </w:p>
    <w:p w14:paraId="7045DEF2" w14:textId="77777777" w:rsidR="00B66291" w:rsidRDefault="00B66291">
      <w:pPr>
        <w:spacing w:before="0" w:after="200"/>
        <w:jc w:val="both"/>
        <w:rPr>
          <w:rFonts w:ascii="Tahoma" w:hAnsi="Tahoma" w:cs="Tahoma"/>
          <w:b/>
          <w:bCs/>
          <w:color w:val="007559" w:themeColor="accent1"/>
          <w:szCs w:val="24"/>
        </w:rPr>
      </w:pPr>
      <w:r>
        <w:br w:type="page"/>
      </w:r>
    </w:p>
    <w:p w14:paraId="5671F38F" w14:textId="7F840E72" w:rsidR="00B66291" w:rsidRDefault="00B66291" w:rsidP="00B66291">
      <w:pPr>
        <w:pStyle w:val="Heading"/>
      </w:pPr>
      <w:bookmarkStart w:id="17" w:name="Section3"/>
      <w:r>
        <w:lastRenderedPageBreak/>
        <w:t xml:space="preserve">Section 3: </w:t>
      </w:r>
      <w:r w:rsidR="000D7A74">
        <w:t xml:space="preserve">Preparing for your mentoring meetings </w:t>
      </w:r>
      <w:r>
        <w:t xml:space="preserve"> </w:t>
      </w:r>
    </w:p>
    <w:bookmarkEnd w:id="17"/>
    <w:p w14:paraId="3EEDAD51" w14:textId="73319C4A" w:rsidR="00E70CA3" w:rsidRDefault="00E70CA3" w:rsidP="00E70CA3">
      <w:r>
        <w:t>The following framework provides a structure</w:t>
      </w:r>
      <w:r w:rsidR="00E82FF9">
        <w:t xml:space="preserve"> to support discussions between you and your ECT. A series of questions are </w:t>
      </w:r>
      <w:r w:rsidR="00B312E8">
        <w:t xml:space="preserve">provided for each section of the process and a suggested set of action steps linked to each of the pieces of reading. For those ECTs who may require some additional challenge a set of further action steps has also been provided. </w:t>
      </w:r>
      <w:r w:rsidR="005A2FC8">
        <w:t>You may wish</w:t>
      </w:r>
      <w:r w:rsidR="000C2807">
        <w:t xml:space="preserve">, of course, to select an action step that specifically meets the needs of </w:t>
      </w:r>
      <w:r w:rsidR="005A2FC8">
        <w:t>your</w:t>
      </w:r>
      <w:r w:rsidR="000C2807">
        <w:t xml:space="preserve"> context. </w:t>
      </w:r>
    </w:p>
    <w:p w14:paraId="4DA3F0CB" w14:textId="77777777" w:rsidR="00AC3F57" w:rsidRPr="00601528" w:rsidRDefault="00AC3F57" w:rsidP="00AC3F57">
      <w:pPr>
        <w:pStyle w:val="Subheading"/>
      </w:pPr>
      <w:r w:rsidRPr="00601528">
        <w:t>Meeting 1</w:t>
      </w:r>
      <w:r>
        <w:t xml:space="preserve">: Prepare and plan </w:t>
      </w:r>
    </w:p>
    <w:tbl>
      <w:tblPr>
        <w:tblStyle w:val="TableGrid"/>
        <w:tblW w:w="9015" w:type="dxa"/>
        <w:tblLook w:val="04A0" w:firstRow="1" w:lastRow="0" w:firstColumn="1" w:lastColumn="0" w:noHBand="0" w:noVBand="1"/>
      </w:tblPr>
      <w:tblGrid>
        <w:gridCol w:w="9015"/>
      </w:tblGrid>
      <w:tr w:rsidR="00AC3F57" w:rsidRPr="0096393B" w14:paraId="6A17CFE6" w14:textId="77777777" w:rsidTr="00A100CF">
        <w:trPr>
          <w:trHeight w:val="1751"/>
        </w:trPr>
        <w:tc>
          <w:tcPr>
            <w:tcW w:w="9015" w:type="dxa"/>
            <w:shd w:val="clear" w:color="auto" w:fill="FFFFFF" w:themeFill="background1"/>
          </w:tcPr>
          <w:p w14:paraId="255972BD" w14:textId="77777777" w:rsidR="00AC3F57" w:rsidRPr="00650E1C" w:rsidRDefault="00AC3F57" w:rsidP="00A100CF">
            <w:pPr>
              <w:rPr>
                <w:b/>
                <w:bCs/>
              </w:rPr>
            </w:pPr>
            <w:r w:rsidRPr="00650E1C">
              <w:rPr>
                <w:b/>
                <w:bCs/>
              </w:rPr>
              <w:t>Wellbeing check-in</w:t>
            </w:r>
          </w:p>
          <w:p w14:paraId="73939213" w14:textId="77777777" w:rsidR="00AC3F57" w:rsidRPr="00B43A32" w:rsidRDefault="00AC3F57" w:rsidP="00A100CF">
            <w:r w:rsidRPr="00B43A32">
              <w:t xml:space="preserve">Check in on how they are feeling and any points they would like support with. </w:t>
            </w:r>
          </w:p>
          <w:p w14:paraId="7F57E5CC" w14:textId="77777777" w:rsidR="00AC3F57" w:rsidRPr="0096393B" w:rsidRDefault="00AC3F57" w:rsidP="00A100CF">
            <w:pPr>
              <w:rPr>
                <w:highlight w:val="red"/>
              </w:rPr>
            </w:pPr>
            <w:r w:rsidRPr="00B43A32">
              <w:t xml:space="preserve">If you have any concerns about your ECT’s well-being, you should raise this with your Induction Tutor. </w:t>
            </w:r>
          </w:p>
        </w:tc>
      </w:tr>
      <w:tr w:rsidR="00AC3F57" w:rsidRPr="0096393B" w14:paraId="4C85981E" w14:textId="77777777" w:rsidTr="00A100CF">
        <w:trPr>
          <w:trHeight w:val="1387"/>
        </w:trPr>
        <w:tc>
          <w:tcPr>
            <w:tcW w:w="9015" w:type="dxa"/>
          </w:tcPr>
          <w:p w14:paraId="2E8F9015" w14:textId="77777777" w:rsidR="00AC3F57" w:rsidRPr="00EF1F76" w:rsidRDefault="00AC3F57" w:rsidP="00A100CF">
            <w:pPr>
              <w:rPr>
                <w:b/>
                <w:bCs/>
              </w:rPr>
            </w:pPr>
            <w:r>
              <w:rPr>
                <w:b/>
                <w:bCs/>
              </w:rPr>
              <w:t>Starting the meeting</w:t>
            </w:r>
          </w:p>
          <w:p w14:paraId="54975430" w14:textId="77777777" w:rsidR="00AC3F57" w:rsidRPr="00650E1C" w:rsidRDefault="00AC3F57" w:rsidP="00A100CF">
            <w:r>
              <w:t xml:space="preserve">Check that that they have completed Section 1 of their self-study and that they have their notes with them. </w:t>
            </w:r>
          </w:p>
        </w:tc>
      </w:tr>
      <w:tr w:rsidR="00AC3F57" w:rsidRPr="0096393B" w14:paraId="22E745B8" w14:textId="77777777" w:rsidTr="00A100CF">
        <w:trPr>
          <w:trHeight w:val="424"/>
        </w:trPr>
        <w:tc>
          <w:tcPr>
            <w:tcW w:w="9015" w:type="dxa"/>
            <w:shd w:val="clear" w:color="auto" w:fill="004B62" w:themeFill="text1"/>
          </w:tcPr>
          <w:p w14:paraId="3C299934" w14:textId="77777777" w:rsidR="00AC3F57" w:rsidRPr="005A4269" w:rsidRDefault="00AC3F57" w:rsidP="00A100CF">
            <w:pPr>
              <w:rPr>
                <w:b/>
                <w:bCs/>
              </w:rPr>
            </w:pPr>
            <w:r w:rsidRPr="005A4269">
              <w:rPr>
                <w:b/>
                <w:bCs/>
              </w:rPr>
              <w:t xml:space="preserve">EXPLORE </w:t>
            </w:r>
          </w:p>
        </w:tc>
      </w:tr>
      <w:tr w:rsidR="00AC3F57" w:rsidRPr="0096393B" w14:paraId="129E94B3" w14:textId="77777777" w:rsidTr="00A100CF">
        <w:trPr>
          <w:trHeight w:val="1395"/>
        </w:trPr>
        <w:tc>
          <w:tcPr>
            <w:tcW w:w="9015" w:type="dxa"/>
          </w:tcPr>
          <w:p w14:paraId="1D6A77EA" w14:textId="1FA36958" w:rsidR="00AC3F57" w:rsidRDefault="00AC3F57" w:rsidP="00A100CF">
            <w:pPr>
              <w:spacing w:line="276" w:lineRule="auto"/>
            </w:pPr>
            <w:r>
              <w:t xml:space="preserve">Share your feedback from lesson observation 1. This should be done using the </w:t>
            </w:r>
            <w:hyperlink w:anchor="Appendix3" w:history="1">
              <w:r w:rsidRPr="003654FC">
                <w:rPr>
                  <w:rStyle w:val="Hyperlink"/>
                </w:rPr>
                <w:t xml:space="preserve">NIoT Six step observation and feedback </w:t>
              </w:r>
              <w:r w:rsidRPr="003654FC">
                <w:rPr>
                  <w:rStyle w:val="Hyperlink"/>
                </w:rPr>
                <w:t>m</w:t>
              </w:r>
              <w:r w:rsidRPr="003654FC">
                <w:rPr>
                  <w:rStyle w:val="Hyperlink"/>
                </w:rPr>
                <w:t>odel</w:t>
              </w:r>
            </w:hyperlink>
            <w:r>
              <w:t xml:space="preserve"> or you school/trust model. </w:t>
            </w:r>
          </w:p>
          <w:p w14:paraId="18871E35" w14:textId="77777777" w:rsidR="00AC3F57" w:rsidRPr="00650E1C" w:rsidRDefault="00AC3F57" w:rsidP="00A100CF">
            <w:pPr>
              <w:spacing w:line="276" w:lineRule="auto"/>
            </w:pPr>
            <w:r>
              <w:t xml:space="preserve">Discuss any other targets or goals that your ECT currently has. </w:t>
            </w:r>
          </w:p>
        </w:tc>
      </w:tr>
      <w:tr w:rsidR="00AC3F57" w:rsidRPr="0096393B" w14:paraId="20B26ACC" w14:textId="77777777" w:rsidTr="00A100CF">
        <w:trPr>
          <w:trHeight w:val="1984"/>
        </w:trPr>
        <w:tc>
          <w:tcPr>
            <w:tcW w:w="9015" w:type="dxa"/>
          </w:tcPr>
          <w:p w14:paraId="68BB4867" w14:textId="77777777" w:rsidR="00AC3F57" w:rsidRDefault="00AC3F57" w:rsidP="00A100CF">
            <w:r>
              <w:t xml:space="preserve">Prompt your ECT to share their reflections from Section 1 of their self-study. You may want to ask them: </w:t>
            </w:r>
          </w:p>
          <w:p w14:paraId="73D58C27" w14:textId="77777777" w:rsidR="00AC3F57" w:rsidRDefault="00AC3F57" w:rsidP="00A100CF">
            <w:pPr>
              <w:pStyle w:val="ListParagraph"/>
              <w:numPr>
                <w:ilvl w:val="0"/>
                <w:numId w:val="42"/>
              </w:numPr>
            </w:pPr>
            <w:r>
              <w:t>Which area of your self-study do you feel you would like to explore further</w:t>
            </w:r>
            <w:r w:rsidRPr="00CE799D">
              <w:t xml:space="preserve">? </w:t>
            </w:r>
          </w:p>
          <w:p w14:paraId="626EB438" w14:textId="77777777" w:rsidR="00AC3F57" w:rsidRDefault="00AC3F57" w:rsidP="00A100CF">
            <w:pPr>
              <w:pStyle w:val="ListParagraph"/>
              <w:numPr>
                <w:ilvl w:val="0"/>
                <w:numId w:val="42"/>
              </w:numPr>
            </w:pPr>
            <w:r>
              <w:t xml:space="preserve">What does the research say about this? </w:t>
            </w:r>
          </w:p>
          <w:p w14:paraId="4C04B284" w14:textId="77777777" w:rsidR="00AC3F57" w:rsidRDefault="00AC3F57" w:rsidP="00A100CF">
            <w:pPr>
              <w:pStyle w:val="ListParagraph"/>
              <w:numPr>
                <w:ilvl w:val="0"/>
                <w:numId w:val="42"/>
              </w:numPr>
            </w:pPr>
            <w:r>
              <w:t xml:space="preserve">How does this relate to what you are seeing in your classroom? </w:t>
            </w:r>
          </w:p>
          <w:p w14:paraId="6B415A8D" w14:textId="77777777" w:rsidR="00AC3F57" w:rsidRDefault="00AC3F57" w:rsidP="00A100CF">
            <w:r>
              <w:t>How far do these reflections align with your observation and pupils data?</w:t>
            </w:r>
          </w:p>
          <w:p w14:paraId="453BC2F1" w14:textId="77777777" w:rsidR="00AC3F57" w:rsidRPr="00650E1C" w:rsidRDefault="00AC3F57" w:rsidP="00A100CF">
            <w:pPr>
              <w:rPr>
                <w:highlight w:val="red"/>
              </w:rPr>
            </w:pPr>
            <w:r>
              <w:t xml:space="preserve">Is a pattern emerging that identifies a likely area for development this half-term? </w:t>
            </w:r>
          </w:p>
        </w:tc>
      </w:tr>
      <w:tr w:rsidR="00AC3F57" w:rsidRPr="00CE799D" w14:paraId="650E0202" w14:textId="77777777" w:rsidTr="00A100CF">
        <w:trPr>
          <w:trHeight w:val="718"/>
        </w:trPr>
        <w:tc>
          <w:tcPr>
            <w:tcW w:w="9015" w:type="dxa"/>
            <w:shd w:val="clear" w:color="auto" w:fill="004B62" w:themeFill="text1"/>
          </w:tcPr>
          <w:p w14:paraId="77B7E661" w14:textId="77777777" w:rsidR="00AC3F57" w:rsidRPr="005A4269" w:rsidRDefault="00AC3F57" w:rsidP="00A100CF">
            <w:pPr>
              <w:rPr>
                <w:b/>
                <w:bCs/>
              </w:rPr>
            </w:pPr>
            <w:r w:rsidRPr="005A4269">
              <w:rPr>
                <w:b/>
                <w:bCs/>
              </w:rPr>
              <w:t xml:space="preserve">SELECT </w:t>
            </w:r>
          </w:p>
        </w:tc>
      </w:tr>
      <w:tr w:rsidR="00AC3F57" w:rsidRPr="00CE799D" w14:paraId="14DAF4BE" w14:textId="77777777" w:rsidTr="00A100CF">
        <w:trPr>
          <w:trHeight w:val="983"/>
        </w:trPr>
        <w:tc>
          <w:tcPr>
            <w:tcW w:w="9015" w:type="dxa"/>
          </w:tcPr>
          <w:p w14:paraId="657000C8" w14:textId="77777777" w:rsidR="00AC3F57" w:rsidRPr="00CE799D" w:rsidRDefault="00AC3F57" w:rsidP="00A100CF">
            <w:pPr>
              <w:spacing w:line="276" w:lineRule="auto"/>
            </w:pPr>
            <w:r>
              <w:t>Having explored the possible areas for development, you should jointly a</w:t>
            </w:r>
            <w:r w:rsidRPr="005A4269">
              <w:t xml:space="preserve">gree on the </w:t>
            </w:r>
            <w:r>
              <w:t xml:space="preserve">research </w:t>
            </w:r>
            <w:r w:rsidRPr="005A4269">
              <w:t xml:space="preserve">reading and focus </w:t>
            </w:r>
            <w:r>
              <w:t xml:space="preserve">for development </w:t>
            </w:r>
            <w:r w:rsidRPr="005A4269">
              <w:t>for the half-term.</w:t>
            </w:r>
            <w:r>
              <w:t xml:space="preserve"> For some ECTs, this may be an opportunity to be stretched and challenged. </w:t>
            </w:r>
          </w:p>
        </w:tc>
      </w:tr>
      <w:tr w:rsidR="00AC3F57" w:rsidRPr="00CE799D" w14:paraId="267F9DA0" w14:textId="77777777" w:rsidTr="00A100CF">
        <w:trPr>
          <w:trHeight w:val="671"/>
        </w:trPr>
        <w:tc>
          <w:tcPr>
            <w:tcW w:w="9015" w:type="dxa"/>
            <w:shd w:val="clear" w:color="auto" w:fill="004B62" w:themeFill="text1"/>
          </w:tcPr>
          <w:p w14:paraId="2EEBC8B5" w14:textId="77777777" w:rsidR="00AC3F57" w:rsidRPr="005A4269" w:rsidRDefault="00AC3F57" w:rsidP="00A100CF">
            <w:pPr>
              <w:rPr>
                <w:b/>
                <w:bCs/>
              </w:rPr>
            </w:pPr>
            <w:r w:rsidRPr="005A4269">
              <w:rPr>
                <w:b/>
                <w:bCs/>
              </w:rPr>
              <w:t xml:space="preserve">PLAN </w:t>
            </w:r>
          </w:p>
        </w:tc>
      </w:tr>
      <w:tr w:rsidR="00AC3F57" w:rsidRPr="00CE799D" w14:paraId="6E6588D2" w14:textId="77777777" w:rsidTr="00A100CF">
        <w:trPr>
          <w:trHeight w:val="1858"/>
        </w:trPr>
        <w:tc>
          <w:tcPr>
            <w:tcW w:w="9015" w:type="dxa"/>
          </w:tcPr>
          <w:p w14:paraId="08CEBCC0" w14:textId="1ED4DDCA" w:rsidR="00AC3F57" w:rsidRDefault="00AC3F57" w:rsidP="00A100CF">
            <w:bookmarkStart w:id="18" w:name="_Hlk152933698"/>
            <w:r>
              <w:lastRenderedPageBreak/>
              <w:t xml:space="preserve">Refer to the action steps related to the chosen reading in </w:t>
            </w:r>
            <w:hyperlink w:anchor="Appendix1" w:history="1">
              <w:r w:rsidRPr="00E70CA3">
                <w:rPr>
                  <w:rStyle w:val="Hyperlink"/>
                </w:rPr>
                <w:t>appen</w:t>
              </w:r>
              <w:r w:rsidRPr="00E70CA3">
                <w:rPr>
                  <w:rStyle w:val="Hyperlink"/>
                </w:rPr>
                <w:t>d</w:t>
              </w:r>
              <w:r w:rsidRPr="00E70CA3">
                <w:rPr>
                  <w:rStyle w:val="Hyperlink"/>
                </w:rPr>
                <w:t>ix 1</w:t>
              </w:r>
            </w:hyperlink>
            <w:r>
              <w:t>. Choose one which best supports your area of focus.</w:t>
            </w:r>
            <w:r w:rsidRPr="00B13D48">
              <w:t xml:space="preserve"> </w:t>
            </w:r>
            <w:r>
              <w:t xml:space="preserve">For some ECTs, you may wish to stretch them by agreeing on an additional action. </w:t>
            </w:r>
          </w:p>
          <w:p w14:paraId="7E2BB902" w14:textId="77777777" w:rsidR="00AC3F57" w:rsidRPr="00E12FDB" w:rsidRDefault="00AC3F57" w:rsidP="00A100CF">
            <w:pPr>
              <w:rPr>
                <w:rFonts w:ascii="Tahoma" w:hAnsi="Tahoma"/>
                <w:iCs/>
              </w:rPr>
            </w:pPr>
            <w:r w:rsidRPr="005A4269">
              <w:t xml:space="preserve">You may also wish to select </w:t>
            </w:r>
            <w:r>
              <w:t>your own</w:t>
            </w:r>
            <w:r w:rsidRPr="005A4269">
              <w:t xml:space="preserve"> alternative focus area that more specifically meets the needs of your context but is related to adaptive practice. </w:t>
            </w:r>
          </w:p>
        </w:tc>
      </w:tr>
      <w:tr w:rsidR="00AC3F57" w:rsidRPr="00CE799D" w14:paraId="2C5734A1" w14:textId="77777777" w:rsidTr="00A100CF">
        <w:trPr>
          <w:trHeight w:val="841"/>
        </w:trPr>
        <w:tc>
          <w:tcPr>
            <w:tcW w:w="9015" w:type="dxa"/>
          </w:tcPr>
          <w:p w14:paraId="483ECD4F" w14:textId="77777777" w:rsidR="00AC3F57" w:rsidRPr="00CE799D" w:rsidRDefault="00AC3F57" w:rsidP="00A100CF">
            <w:pPr>
              <w:spacing w:line="276" w:lineRule="auto"/>
            </w:pPr>
            <w:r>
              <w:t>Prompt your ECT to t</w:t>
            </w:r>
            <w:r w:rsidRPr="0019447F">
              <w:t xml:space="preserve">hink </w:t>
            </w:r>
            <w:r>
              <w:t>specifically</w:t>
            </w:r>
            <w:r w:rsidRPr="0019447F">
              <w:t xml:space="preserve"> about </w:t>
            </w:r>
            <w:r>
              <w:t>their</w:t>
            </w:r>
            <w:r w:rsidRPr="0019447F">
              <w:t xml:space="preserve"> class</w:t>
            </w:r>
            <w:r>
              <w:t>/classes. How</w:t>
            </w:r>
            <w:r w:rsidRPr="0019447F">
              <w:t xml:space="preserve"> can </w:t>
            </w:r>
            <w:r>
              <w:t>they</w:t>
            </w:r>
            <w:r w:rsidRPr="0019447F">
              <w:t xml:space="preserve"> </w:t>
            </w:r>
            <w:r>
              <w:t>apply the research to implement</w:t>
            </w:r>
            <w:r w:rsidRPr="0019447F">
              <w:t xml:space="preserve"> the chosen </w:t>
            </w:r>
            <w:r>
              <w:t xml:space="preserve">strategy or </w:t>
            </w:r>
            <w:r w:rsidRPr="0019447F">
              <w:t xml:space="preserve">approach </w:t>
            </w:r>
            <w:r>
              <w:t>and</w:t>
            </w:r>
            <w:r w:rsidRPr="0019447F">
              <w:t xml:space="preserve"> meet the unique needs of your pupils and classroom context?</w:t>
            </w:r>
          </w:p>
        </w:tc>
      </w:tr>
      <w:tr w:rsidR="00AC3F57" w:rsidRPr="0096393B" w14:paraId="709A440A" w14:textId="77777777" w:rsidTr="00A100CF">
        <w:trPr>
          <w:trHeight w:val="1285"/>
        </w:trPr>
        <w:tc>
          <w:tcPr>
            <w:tcW w:w="9015" w:type="dxa"/>
          </w:tcPr>
          <w:p w14:paraId="288AD1AB" w14:textId="77777777" w:rsidR="00AC3F57" w:rsidRPr="00CE799D" w:rsidRDefault="00AC3F57" w:rsidP="00A100CF">
            <w:pPr>
              <w:spacing w:line="276" w:lineRule="auto"/>
            </w:pPr>
            <w:r>
              <w:t>Ask them to consider any barriers or challenges that could hinder</w:t>
            </w:r>
            <w:r w:rsidRPr="00427A98">
              <w:t xml:space="preserve"> the development of the identified approach or strategy</w:t>
            </w:r>
            <w:r>
              <w:t xml:space="preserve">. Support your ECT to plan how they could </w:t>
            </w:r>
            <w:r w:rsidRPr="00427A98">
              <w:t>address these challenges</w:t>
            </w:r>
            <w:r>
              <w:t xml:space="preserve">. </w:t>
            </w:r>
          </w:p>
        </w:tc>
      </w:tr>
      <w:tr w:rsidR="00AC3F57" w:rsidRPr="00886BB5" w14:paraId="207040FA" w14:textId="77777777" w:rsidTr="00A100CF">
        <w:trPr>
          <w:trHeight w:val="1261"/>
        </w:trPr>
        <w:tc>
          <w:tcPr>
            <w:tcW w:w="9015" w:type="dxa"/>
          </w:tcPr>
          <w:p w14:paraId="6931394D" w14:textId="77777777" w:rsidR="00AC3F57" w:rsidRPr="00886BB5" w:rsidRDefault="00AC3F57" w:rsidP="00A100CF">
            <w:r>
              <w:t xml:space="preserve">Plan together the </w:t>
            </w:r>
            <w:r w:rsidRPr="00886BB5">
              <w:t xml:space="preserve">specific steps </w:t>
            </w:r>
            <w:r>
              <w:t xml:space="preserve">needed </w:t>
            </w:r>
            <w:r w:rsidRPr="00886BB5">
              <w:t xml:space="preserve">to implement the chosen teaching strategy in </w:t>
            </w:r>
            <w:r>
              <w:t>their</w:t>
            </w:r>
            <w:r w:rsidRPr="00886BB5">
              <w:t xml:space="preserve"> classroom</w:t>
            </w:r>
            <w:r>
              <w:t xml:space="preserve">. </w:t>
            </w:r>
            <w:r w:rsidRPr="00886BB5">
              <w:t xml:space="preserve">What resources or materials will </w:t>
            </w:r>
            <w:r>
              <w:t>they</w:t>
            </w:r>
            <w:r w:rsidRPr="00886BB5">
              <w:t xml:space="preserve"> need</w:t>
            </w:r>
            <w:r>
              <w:t xml:space="preserve">? Could they observe another colleague part of the plan? </w:t>
            </w:r>
          </w:p>
        </w:tc>
      </w:tr>
      <w:tr w:rsidR="00AC3F57" w:rsidRPr="00886BB5" w14:paraId="26F82459" w14:textId="77777777" w:rsidTr="00A100CF">
        <w:trPr>
          <w:trHeight w:val="1265"/>
        </w:trPr>
        <w:tc>
          <w:tcPr>
            <w:tcW w:w="9015" w:type="dxa"/>
          </w:tcPr>
          <w:p w14:paraId="0D796FEB" w14:textId="77777777" w:rsidR="00AC3F57" w:rsidRDefault="00AC3F57" w:rsidP="00A100CF">
            <w:r>
              <w:t xml:space="preserve">Discuss how to measure progress. Your observations will focus on this. </w:t>
            </w:r>
          </w:p>
          <w:p w14:paraId="06C74D96" w14:textId="77777777" w:rsidR="00AC3F57" w:rsidRPr="00235DF8" w:rsidRDefault="00AC3F57" w:rsidP="00A100CF">
            <w:r>
              <w:t>Together, identify</w:t>
            </w:r>
            <w:r w:rsidRPr="00235DF8">
              <w:t xml:space="preserve"> realistic and measurable goals for the changes </w:t>
            </w:r>
            <w:r>
              <w:t>they</w:t>
            </w:r>
            <w:r w:rsidRPr="00235DF8">
              <w:t xml:space="preserve"> intend to make in </w:t>
            </w:r>
            <w:r>
              <w:t>their</w:t>
            </w:r>
            <w:r w:rsidRPr="00235DF8">
              <w:t xml:space="preserve"> teaching practice</w:t>
            </w:r>
            <w:r>
              <w:t xml:space="preserve">. Agree what </w:t>
            </w:r>
            <w:r w:rsidRPr="00235DF8">
              <w:t>it</w:t>
            </w:r>
            <w:r>
              <w:t xml:space="preserve"> would</w:t>
            </w:r>
            <w:r w:rsidRPr="00235DF8">
              <w:t xml:space="preserve"> look like if it was effective</w:t>
            </w:r>
            <w:r>
              <w:t xml:space="preserve">. </w:t>
            </w:r>
          </w:p>
        </w:tc>
      </w:tr>
    </w:tbl>
    <w:p w14:paraId="18972E4B" w14:textId="77777777" w:rsidR="00AC3F57" w:rsidRPr="00347187" w:rsidRDefault="00AC3F57" w:rsidP="00AC3F57">
      <w:pPr>
        <w:pStyle w:val="Subheading"/>
      </w:pPr>
      <w:r w:rsidRPr="00347187">
        <w:t>Meeting 2</w:t>
      </w:r>
      <w:r>
        <w:t xml:space="preserve">: Review and adapt </w:t>
      </w:r>
    </w:p>
    <w:tbl>
      <w:tblPr>
        <w:tblStyle w:val="TableGrid"/>
        <w:tblW w:w="9015" w:type="dxa"/>
        <w:tblLook w:val="04A0" w:firstRow="1" w:lastRow="0" w:firstColumn="1" w:lastColumn="0" w:noHBand="0" w:noVBand="1"/>
      </w:tblPr>
      <w:tblGrid>
        <w:gridCol w:w="9015"/>
      </w:tblGrid>
      <w:tr w:rsidR="00AC3F57" w:rsidRPr="00347187" w14:paraId="13007AF4" w14:textId="77777777" w:rsidTr="00A100CF">
        <w:trPr>
          <w:trHeight w:val="1871"/>
        </w:trPr>
        <w:tc>
          <w:tcPr>
            <w:tcW w:w="9015" w:type="dxa"/>
          </w:tcPr>
          <w:p w14:paraId="7AD7C36B" w14:textId="77777777" w:rsidR="00AC3F57" w:rsidRPr="009D3E37" w:rsidRDefault="00AC3F57" w:rsidP="00A100CF">
            <w:pPr>
              <w:rPr>
                <w:b/>
                <w:bCs/>
              </w:rPr>
            </w:pPr>
            <w:r w:rsidRPr="009D3E37">
              <w:rPr>
                <w:b/>
                <w:bCs/>
              </w:rPr>
              <w:t>Wellbeing check</w:t>
            </w:r>
            <w:r>
              <w:rPr>
                <w:b/>
                <w:bCs/>
              </w:rPr>
              <w:t>-</w:t>
            </w:r>
            <w:r w:rsidRPr="009D3E37">
              <w:rPr>
                <w:b/>
                <w:bCs/>
              </w:rPr>
              <w:t>in</w:t>
            </w:r>
          </w:p>
          <w:p w14:paraId="4270C759" w14:textId="77777777" w:rsidR="00AC3F57" w:rsidRDefault="00AC3F57" w:rsidP="00A100CF">
            <w:r>
              <w:t>Time to ask</w:t>
            </w:r>
            <w:r w:rsidRPr="00B43A32">
              <w:t xml:space="preserve"> how </w:t>
            </w:r>
            <w:r>
              <w:t>your ECT is</w:t>
            </w:r>
            <w:r w:rsidRPr="00B43A32">
              <w:t xml:space="preserve"> feeling and </w:t>
            </w:r>
            <w:r>
              <w:t>if there is anything</w:t>
            </w:r>
            <w:r w:rsidRPr="00B43A32">
              <w:t xml:space="preserve"> they would like support with. </w:t>
            </w:r>
          </w:p>
          <w:p w14:paraId="7B9C7553" w14:textId="77777777" w:rsidR="00AC3F57" w:rsidRPr="00B43A32" w:rsidRDefault="00AC3F57" w:rsidP="00A100CF">
            <w:r>
              <w:t xml:space="preserve">You may wish to check how they are managing their workload and review any upcoming possible pinch points in the school’s calendar. </w:t>
            </w:r>
          </w:p>
          <w:p w14:paraId="3C4DE2BF" w14:textId="77777777" w:rsidR="00AC3F57" w:rsidRDefault="00AC3F57" w:rsidP="00A100CF">
            <w:r w:rsidRPr="00B43A32">
              <w:t>If you have any concerns about your ECT’s well-being, you should raise this with your Induction Tutor.</w:t>
            </w:r>
          </w:p>
        </w:tc>
      </w:tr>
      <w:tr w:rsidR="00AC3F57" w:rsidRPr="00347187" w14:paraId="1721F2D7" w14:textId="77777777" w:rsidTr="00A100CF">
        <w:trPr>
          <w:trHeight w:val="1871"/>
        </w:trPr>
        <w:tc>
          <w:tcPr>
            <w:tcW w:w="9015" w:type="dxa"/>
          </w:tcPr>
          <w:p w14:paraId="147993A6" w14:textId="77777777" w:rsidR="00AC3F57" w:rsidRPr="00347187" w:rsidRDefault="00AC3F57" w:rsidP="00A100CF">
            <w:pPr>
              <w:spacing w:line="276" w:lineRule="auto"/>
            </w:pPr>
            <w:r>
              <w:t xml:space="preserve">Ask your ECT to share their reflections on the </w:t>
            </w:r>
            <w:r w:rsidRPr="00DA00B8">
              <w:rPr>
                <w:b/>
                <w:bCs/>
              </w:rPr>
              <w:t>do</w:t>
            </w:r>
            <w:r>
              <w:t xml:space="preserve"> phase of the Personal Professional Development Cycle. What went well? What changes have they made and why? What challenges did they encounter? Encourage them to use pupil data to support their reflections. </w:t>
            </w:r>
          </w:p>
        </w:tc>
      </w:tr>
      <w:tr w:rsidR="00AC3F57" w:rsidRPr="00347187" w14:paraId="6FB8437E" w14:textId="77777777" w:rsidTr="00A100CF">
        <w:trPr>
          <w:trHeight w:val="1871"/>
        </w:trPr>
        <w:tc>
          <w:tcPr>
            <w:tcW w:w="9015" w:type="dxa"/>
          </w:tcPr>
          <w:p w14:paraId="0C6DEA0A" w14:textId="1B8FDD54" w:rsidR="00AC3F57" w:rsidRPr="00347187" w:rsidRDefault="00AC3F57" w:rsidP="00A100CF">
            <w:pPr>
              <w:spacing w:line="276" w:lineRule="auto"/>
            </w:pPr>
            <w:r w:rsidRPr="00D26035">
              <w:lastRenderedPageBreak/>
              <w:t xml:space="preserve">Share your feedback from lesson observation 2 using </w:t>
            </w:r>
            <w:hyperlink w:anchor="Appendix3" w:history="1">
              <w:r w:rsidRPr="00D26035">
                <w:rPr>
                  <w:rStyle w:val="Hyperlink"/>
                </w:rPr>
                <w:t>the NIoT</w:t>
              </w:r>
              <w:r w:rsidRPr="00D26035">
                <w:rPr>
                  <w:rStyle w:val="Hyperlink"/>
                </w:rPr>
                <w:t xml:space="preserve"> </w:t>
              </w:r>
              <w:r w:rsidRPr="00D26035">
                <w:rPr>
                  <w:rStyle w:val="Hyperlink"/>
                </w:rPr>
                <w:t>o</w:t>
              </w:r>
              <w:r w:rsidRPr="00D26035">
                <w:rPr>
                  <w:rStyle w:val="Hyperlink"/>
                </w:rPr>
                <w:t>b</w:t>
              </w:r>
              <w:r w:rsidRPr="00D26035">
                <w:rPr>
                  <w:rStyle w:val="Hyperlink"/>
                </w:rPr>
                <w:t>servation and feedback model</w:t>
              </w:r>
            </w:hyperlink>
            <w:r>
              <w:t xml:space="preserve"> or your school/trust model</w:t>
            </w:r>
            <w:r w:rsidRPr="00D26035">
              <w:t>. The focus should be on the actions included in the agreed plan. You should refer to the criteria agreed in Meeting 1 to measure impact. Does your observation align with your ECT’s reflections?</w:t>
            </w:r>
            <w:r>
              <w:t xml:space="preserve"> </w:t>
            </w:r>
          </w:p>
        </w:tc>
      </w:tr>
      <w:tr w:rsidR="00AC3F57" w:rsidRPr="00347187" w14:paraId="7D9A0BD1" w14:textId="77777777" w:rsidTr="00A100CF">
        <w:trPr>
          <w:trHeight w:val="1871"/>
        </w:trPr>
        <w:tc>
          <w:tcPr>
            <w:tcW w:w="9015" w:type="dxa"/>
          </w:tcPr>
          <w:p w14:paraId="0B022C04" w14:textId="77A4AE5D" w:rsidR="00AC3F57" w:rsidRDefault="00AC3F57" w:rsidP="00A100CF">
            <w:pPr>
              <w:spacing w:line="276" w:lineRule="auto"/>
            </w:pPr>
            <w:r>
              <w:t>Agree on any adaptations that need to be made to the plan for the next phase – re-do. Does your ECT need any further support? Are they ready to be challenged? Refer to</w:t>
            </w:r>
            <w:hyperlink w:anchor="Appendix2" w:history="1">
              <w:r w:rsidRPr="00E70CA3">
                <w:rPr>
                  <w:rStyle w:val="Hyperlink"/>
                </w:rPr>
                <w:t xml:space="preserve"> app</w:t>
              </w:r>
              <w:r w:rsidRPr="00E70CA3">
                <w:rPr>
                  <w:rStyle w:val="Hyperlink"/>
                </w:rPr>
                <w:t>e</w:t>
              </w:r>
              <w:r w:rsidRPr="00E70CA3">
                <w:rPr>
                  <w:rStyle w:val="Hyperlink"/>
                </w:rPr>
                <w:t>ndix 2</w:t>
              </w:r>
            </w:hyperlink>
            <w:r>
              <w:t xml:space="preserve"> for suggested extensions to the action steps.</w:t>
            </w:r>
          </w:p>
          <w:p w14:paraId="6D5F5703" w14:textId="77777777" w:rsidR="00AC3F57" w:rsidRDefault="00AC3F57" w:rsidP="00A100CF">
            <w:pPr>
              <w:spacing w:line="276" w:lineRule="auto"/>
            </w:pPr>
            <w:r>
              <w:t xml:space="preserve">Revisit the criteria for measuring what success will look like for your ECT and their pupils. </w:t>
            </w:r>
          </w:p>
        </w:tc>
      </w:tr>
    </w:tbl>
    <w:p w14:paraId="19C44957" w14:textId="77777777" w:rsidR="00AC3F57" w:rsidRPr="00840D8F" w:rsidRDefault="00AC3F57" w:rsidP="00AC3F57">
      <w:pPr>
        <w:pStyle w:val="Subheading"/>
      </w:pPr>
      <w:r>
        <w:t xml:space="preserve">Meeting 3: Final review and next steps </w:t>
      </w:r>
    </w:p>
    <w:tbl>
      <w:tblPr>
        <w:tblStyle w:val="TableGrid"/>
        <w:tblW w:w="9015" w:type="dxa"/>
        <w:tblLook w:val="04A0" w:firstRow="1" w:lastRow="0" w:firstColumn="1" w:lastColumn="0" w:noHBand="0" w:noVBand="1"/>
      </w:tblPr>
      <w:tblGrid>
        <w:gridCol w:w="9015"/>
      </w:tblGrid>
      <w:tr w:rsidR="00AC3F57" w:rsidRPr="00840D8F" w14:paraId="44D3A377" w14:textId="77777777" w:rsidTr="00A100CF">
        <w:trPr>
          <w:trHeight w:val="904"/>
        </w:trPr>
        <w:tc>
          <w:tcPr>
            <w:tcW w:w="9015" w:type="dxa"/>
          </w:tcPr>
          <w:p w14:paraId="1A3E3E30" w14:textId="77777777" w:rsidR="00AC3F57" w:rsidRPr="009D3E37" w:rsidRDefault="00AC3F57" w:rsidP="00A100CF">
            <w:pPr>
              <w:rPr>
                <w:b/>
                <w:bCs/>
              </w:rPr>
            </w:pPr>
            <w:r w:rsidRPr="009D3E37">
              <w:rPr>
                <w:b/>
                <w:bCs/>
              </w:rPr>
              <w:t>Wellbeing check</w:t>
            </w:r>
            <w:r>
              <w:rPr>
                <w:b/>
                <w:bCs/>
              </w:rPr>
              <w:t>-</w:t>
            </w:r>
            <w:r w:rsidRPr="009D3E37">
              <w:rPr>
                <w:b/>
                <w:bCs/>
              </w:rPr>
              <w:t>in</w:t>
            </w:r>
          </w:p>
          <w:p w14:paraId="60E47806" w14:textId="77777777" w:rsidR="00AC3F57" w:rsidRDefault="00AC3F57" w:rsidP="00A100CF">
            <w:r>
              <w:t>Ask how your ECT is</w:t>
            </w:r>
            <w:r w:rsidRPr="00B43A32">
              <w:t xml:space="preserve"> feeling and </w:t>
            </w:r>
            <w:r>
              <w:t>if there is anything</w:t>
            </w:r>
            <w:r w:rsidRPr="00B43A32">
              <w:t xml:space="preserve"> they would like support with. </w:t>
            </w:r>
          </w:p>
          <w:p w14:paraId="37DD6E0C" w14:textId="77777777" w:rsidR="00AC3F57" w:rsidRPr="008A1FBA" w:rsidRDefault="00AC3F57" w:rsidP="00A100CF">
            <w:r w:rsidRPr="00B43A32">
              <w:t>If you have any concerns about your ECT’s well-being, you should raise this with your Induction Tutor.</w:t>
            </w:r>
          </w:p>
        </w:tc>
      </w:tr>
      <w:tr w:rsidR="00AC3F57" w:rsidRPr="00840D8F" w14:paraId="2F08F21A" w14:textId="77777777" w:rsidTr="00A100CF">
        <w:trPr>
          <w:trHeight w:val="904"/>
        </w:trPr>
        <w:tc>
          <w:tcPr>
            <w:tcW w:w="9015" w:type="dxa"/>
          </w:tcPr>
          <w:p w14:paraId="0632F5A9" w14:textId="77777777" w:rsidR="00AC3F57" w:rsidRDefault="00AC3F57" w:rsidP="00A100CF">
            <w:pPr>
              <w:spacing w:line="276" w:lineRule="auto"/>
            </w:pPr>
            <w:r w:rsidRPr="008A1FBA">
              <w:t xml:space="preserve">Prompt your ECT to share their reflections and notes from the re-do phase of the cycle. Ask them to use pupil data to support their findings. </w:t>
            </w:r>
          </w:p>
          <w:p w14:paraId="6C06F74F" w14:textId="77777777" w:rsidR="00AC3F57" w:rsidRPr="008A1FBA" w:rsidRDefault="00AC3F57" w:rsidP="00A100CF">
            <w:pPr>
              <w:spacing w:line="276" w:lineRule="auto"/>
            </w:pPr>
            <w:r w:rsidRPr="008A1FBA">
              <w:t xml:space="preserve">You may wish to </w:t>
            </w:r>
            <w:r>
              <w:t>discuss the following</w:t>
            </w:r>
            <w:r w:rsidRPr="008A1FBA">
              <w:t xml:space="preserve">: </w:t>
            </w:r>
          </w:p>
          <w:p w14:paraId="624A8443" w14:textId="77777777" w:rsidR="00AC3F57" w:rsidRPr="00290F27" w:rsidRDefault="00AC3F57" w:rsidP="00A100CF">
            <w:pPr>
              <w:pStyle w:val="ListParagraph"/>
              <w:numPr>
                <w:ilvl w:val="0"/>
                <w:numId w:val="45"/>
              </w:numPr>
              <w:spacing w:line="276" w:lineRule="auto"/>
            </w:pPr>
            <w:r w:rsidRPr="00290F27">
              <w:t xml:space="preserve">What aspects of the implementation were successful, and why? </w:t>
            </w:r>
          </w:p>
          <w:p w14:paraId="5FC0F433" w14:textId="77777777" w:rsidR="00AC3F57" w:rsidRDefault="00AC3F57" w:rsidP="00A100CF">
            <w:pPr>
              <w:pStyle w:val="ListParagraph"/>
              <w:numPr>
                <w:ilvl w:val="0"/>
                <w:numId w:val="45"/>
              </w:numPr>
              <w:spacing w:line="276" w:lineRule="auto"/>
            </w:pPr>
            <w:r w:rsidRPr="00290F27">
              <w:t xml:space="preserve">Does this mirror the suggestions within your chosen research? Was there anything that didn’t align with the evidence and why not? </w:t>
            </w:r>
          </w:p>
          <w:p w14:paraId="08653E05" w14:textId="77777777" w:rsidR="00AC3F57" w:rsidRPr="000021D8" w:rsidRDefault="00AC3F57" w:rsidP="00A100CF">
            <w:pPr>
              <w:pStyle w:val="ListParagraph"/>
              <w:numPr>
                <w:ilvl w:val="0"/>
                <w:numId w:val="45"/>
              </w:numPr>
              <w:spacing w:line="276" w:lineRule="auto"/>
            </w:pPr>
            <w:r>
              <w:t>What challenges did you face and were they any barriers that you couldn’t overcome? Why?</w:t>
            </w:r>
          </w:p>
        </w:tc>
      </w:tr>
      <w:tr w:rsidR="00AC3F57" w:rsidRPr="00840D8F" w14:paraId="7F79F241" w14:textId="77777777" w:rsidTr="00A100CF">
        <w:trPr>
          <w:trHeight w:val="1984"/>
        </w:trPr>
        <w:tc>
          <w:tcPr>
            <w:tcW w:w="9015" w:type="dxa"/>
          </w:tcPr>
          <w:p w14:paraId="053C9056" w14:textId="6DE1B4A7" w:rsidR="00AC3F57" w:rsidRPr="008A1FBA" w:rsidRDefault="00AC3F57" w:rsidP="00A100CF">
            <w:pPr>
              <w:spacing w:line="276" w:lineRule="auto"/>
            </w:pPr>
            <w:r>
              <w:t xml:space="preserve">Share your feedback from lesson observation 3 using the </w:t>
            </w:r>
            <w:hyperlink w:anchor="Appendix3" w:history="1">
              <w:r w:rsidRPr="00D26035">
                <w:rPr>
                  <w:rStyle w:val="Hyperlink"/>
                </w:rPr>
                <w:t xml:space="preserve">NIoT </w:t>
              </w:r>
              <w:r w:rsidRPr="00D26035">
                <w:rPr>
                  <w:rStyle w:val="Hyperlink"/>
                </w:rPr>
                <w:t>o</w:t>
              </w:r>
              <w:r w:rsidRPr="00D26035">
                <w:rPr>
                  <w:rStyle w:val="Hyperlink"/>
                </w:rPr>
                <w:t>bservation and feedback model</w:t>
              </w:r>
            </w:hyperlink>
            <w:r>
              <w:t xml:space="preserve"> or your school/trust model. The focus should again be on the actions included in the agreed plan and any changes made during your last meeting. You should refer to the criteria measure impact. Does your observation align with your ECT’s final reflections?</w:t>
            </w:r>
          </w:p>
        </w:tc>
      </w:tr>
      <w:tr w:rsidR="00AC3F57" w14:paraId="555EBC6B" w14:textId="77777777" w:rsidTr="00A100CF">
        <w:trPr>
          <w:trHeight w:val="1984"/>
        </w:trPr>
        <w:tc>
          <w:tcPr>
            <w:tcW w:w="9015" w:type="dxa"/>
          </w:tcPr>
          <w:p w14:paraId="044F9E9A" w14:textId="77777777" w:rsidR="00AC3F57" w:rsidRPr="00296577" w:rsidRDefault="00AC3F57" w:rsidP="00A100CF">
            <w:pPr>
              <w:spacing w:line="276" w:lineRule="auto"/>
              <w:rPr>
                <w:b/>
                <w:bCs/>
              </w:rPr>
            </w:pPr>
            <w:r w:rsidRPr="00296577">
              <w:rPr>
                <w:b/>
                <w:bCs/>
              </w:rPr>
              <w:t xml:space="preserve">Planning next steps: </w:t>
            </w:r>
          </w:p>
          <w:p w14:paraId="7D843E80" w14:textId="77777777" w:rsidR="00AC3F57" w:rsidRDefault="00AC3F57" w:rsidP="00A100CF">
            <w:pPr>
              <w:spacing w:line="276" w:lineRule="auto"/>
            </w:pPr>
            <w:r>
              <w:t>Discuss how this cycle will inform your ECT’s f</w:t>
            </w:r>
            <w:r w:rsidRPr="00840D8F">
              <w:t>uture practice</w:t>
            </w:r>
            <w:r>
              <w:t>. What would they do differently next time? How has it developed their understanding of how to apply the theory and evidence to their own practice?</w:t>
            </w:r>
          </w:p>
        </w:tc>
      </w:tr>
    </w:tbl>
    <w:bookmarkEnd w:id="18"/>
    <w:p w14:paraId="1AEA26A3" w14:textId="77777777" w:rsidR="00826703" w:rsidRDefault="00826703" w:rsidP="00826703">
      <w:pPr>
        <w:pStyle w:val="Subheading"/>
      </w:pPr>
      <w:r>
        <w:fldChar w:fldCharType="begin"/>
      </w:r>
      <w:r>
        <w:instrText>HYPERLINK \l "Content"</w:instrText>
      </w:r>
      <w:r>
        <w:fldChar w:fldCharType="separate"/>
      </w:r>
      <w:r w:rsidRPr="00AA57D3">
        <w:rPr>
          <w:rStyle w:val="Hyperlink"/>
        </w:rPr>
        <w:t>Click here to return to the content</w:t>
      </w:r>
      <w:r>
        <w:rPr>
          <w:rStyle w:val="Hyperlink"/>
        </w:rPr>
        <w:t>s</w:t>
      </w:r>
      <w:r w:rsidRPr="00AA57D3">
        <w:rPr>
          <w:rStyle w:val="Hyperlink"/>
        </w:rPr>
        <w:t xml:space="preserve"> page.</w:t>
      </w:r>
      <w:r>
        <w:fldChar w:fldCharType="end"/>
      </w:r>
    </w:p>
    <w:p w14:paraId="21127E56" w14:textId="6144CBEC" w:rsidR="00EF2925" w:rsidRPr="00AF7EF7" w:rsidRDefault="00EF2925" w:rsidP="00EF2925">
      <w:pPr>
        <w:pStyle w:val="Heading"/>
      </w:pPr>
      <w:bookmarkStart w:id="19" w:name="furtherreading"/>
      <w:r w:rsidRPr="00CA2CFF">
        <w:lastRenderedPageBreak/>
        <w:t>Further</w:t>
      </w:r>
      <w:r w:rsidRPr="00AF7EF7">
        <w:t xml:space="preserve"> reading</w:t>
      </w:r>
    </w:p>
    <w:bookmarkEnd w:id="19"/>
    <w:p w14:paraId="577818B0" w14:textId="77777777" w:rsidR="005D2994" w:rsidRDefault="005D2994" w:rsidP="005D2994">
      <w:pPr>
        <w:pStyle w:val="ListParagraph"/>
        <w:numPr>
          <w:ilvl w:val="0"/>
          <w:numId w:val="56"/>
        </w:numPr>
      </w:pPr>
      <w:r>
        <w:t>Rich, P.R., Van Loon, M.H., Dunlosky, J. and Zaragoza, M.S., 2017. Belief in corrective feedback for common misconceptions: Implications for knowledge revision.</w:t>
      </w:r>
      <w:r>
        <w:rPr>
          <w:rFonts w:ascii="Arial" w:hAnsi="Arial" w:cs="Arial"/>
        </w:rPr>
        <w:t> </w:t>
      </w:r>
      <w:r>
        <w:t>Journal of Experimental Psychology: Learning, Memory, and Cognition,</w:t>
      </w:r>
      <w:r>
        <w:rPr>
          <w:rFonts w:ascii="Arial" w:hAnsi="Arial" w:cs="Arial"/>
        </w:rPr>
        <w:t> </w:t>
      </w:r>
      <w:r>
        <w:t xml:space="preserve">43(3), pp.492 -501. Belief in corrective feedback for common misconceptions: Implications for knowledge revision. (apa.org) </w:t>
      </w:r>
    </w:p>
    <w:p w14:paraId="3557EE1B" w14:textId="77777777" w:rsidR="005D2994" w:rsidRDefault="005D2994" w:rsidP="005D2994">
      <w:pPr>
        <w:pStyle w:val="ListParagraph"/>
        <w:numPr>
          <w:ilvl w:val="0"/>
          <w:numId w:val="56"/>
        </w:numPr>
      </w:pPr>
      <w:r>
        <w:t xml:space="preserve">Willingham, D. T. 2002. Ask the Cognitive Scientist.  Inflexible Knowledge: the first step to expertise.  The American Educator, 26, pp 31-33. Available at: https://www.researchgate.net/publication/234665275_Ask_the_Cognitive_Scientist_Inflexible_Knowledge_The_First_Step_to_Expertise  </w:t>
      </w:r>
    </w:p>
    <w:p w14:paraId="0956574E" w14:textId="77777777" w:rsidR="005D2994" w:rsidRDefault="005D2994" w:rsidP="005D2994">
      <w:pPr>
        <w:pStyle w:val="ListParagraph"/>
        <w:numPr>
          <w:ilvl w:val="0"/>
          <w:numId w:val="56"/>
        </w:numPr>
      </w:pPr>
      <w:r>
        <w:t xml:space="preserve">Willingham, D., 2019. How to teach critical thinking. Available at Occasional Paper Series: How to Teach Critical Thinking (apo.org.au) </w:t>
      </w:r>
    </w:p>
    <w:p w14:paraId="5060087A" w14:textId="77777777" w:rsidR="005D2994" w:rsidRPr="00ED2AF1" w:rsidRDefault="005D2994" w:rsidP="005D2994">
      <w:pPr>
        <w:pStyle w:val="Heading"/>
      </w:pPr>
      <w:r w:rsidRPr="00B01743">
        <w:t>References</w:t>
      </w:r>
    </w:p>
    <w:p w14:paraId="0F32128E" w14:textId="77777777" w:rsidR="005D2994" w:rsidRPr="005021AB" w:rsidRDefault="005D2994" w:rsidP="005D2994">
      <w:pPr>
        <w:pStyle w:val="ListParagraph"/>
        <w:numPr>
          <w:ilvl w:val="0"/>
          <w:numId w:val="55"/>
        </w:numPr>
        <w:spacing w:before="0" w:after="200"/>
        <w:rPr>
          <w:lang w:val="en-US"/>
        </w:rPr>
      </w:pPr>
      <w:r w:rsidRPr="005021AB">
        <w:t>Ball, D. L. (1991). Research on teaching mathematics: Making subject matter knowledge part of the equation. In J. Brophy (Ed.), Advances in research on teaching (Vol. 2, pp. 1-48). JAI Press.</w:t>
      </w:r>
    </w:p>
    <w:p w14:paraId="0EFE8A16" w14:textId="77777777" w:rsidR="005D2994" w:rsidRPr="005021AB" w:rsidRDefault="005D2994" w:rsidP="005D2994">
      <w:pPr>
        <w:pStyle w:val="ListParagraph"/>
        <w:numPr>
          <w:ilvl w:val="0"/>
          <w:numId w:val="55"/>
        </w:numPr>
        <w:spacing w:before="0" w:after="200"/>
        <w:rPr>
          <w:rStyle w:val="Hyperlink"/>
          <w:rFonts w:ascii="Tahoma" w:hAnsi="Tahoma" w:cs="Tahoma"/>
          <w:color w:val="auto"/>
          <w:szCs w:val="24"/>
          <w:u w:val="none"/>
        </w:rPr>
      </w:pPr>
      <w:r w:rsidRPr="005021AB">
        <w:t xml:space="preserve">Ball, D. L., Thames, M. H., &amp; Phelps, G. (2008). Content knowledge for teaching: What makes it special? Journal of Teacher Education, 59(5), 389-407. Available at </w:t>
      </w:r>
      <w:hyperlink r:id="rId25" w:history="1">
        <w:r w:rsidRPr="005021AB">
          <w:rPr>
            <w:rStyle w:val="Hyperlink"/>
          </w:rPr>
          <w:t>https://doi.org/10.1177/0022487108324554</w:t>
        </w:r>
      </w:hyperlink>
      <w:r w:rsidRPr="005021AB">
        <w:t xml:space="preserve"> [Accessed: 31 July 2025]</w:t>
      </w:r>
      <w:r w:rsidRPr="005021AB">
        <w:rPr>
          <w:rStyle w:val="Hyperlink"/>
          <w:color w:val="auto"/>
          <w:u w:val="none"/>
        </w:rPr>
        <w:t xml:space="preserve"> </w:t>
      </w:r>
    </w:p>
    <w:p w14:paraId="56041FD2" w14:textId="77777777" w:rsidR="005D2994" w:rsidRPr="005021AB" w:rsidRDefault="005D2994" w:rsidP="005D2994">
      <w:pPr>
        <w:pStyle w:val="ListParagraph"/>
        <w:numPr>
          <w:ilvl w:val="0"/>
          <w:numId w:val="55"/>
        </w:numPr>
      </w:pPr>
      <w:r w:rsidRPr="005021AB">
        <w:t>Chi, M. T. (2009) Three types of conceptual change: Belief revision, mental model transformation, and categorical shift. In International handbook of research on conceptual change (pp. 89-110). Routledge </w:t>
      </w:r>
    </w:p>
    <w:p w14:paraId="77458D1C" w14:textId="77777777" w:rsidR="005D2994" w:rsidRPr="005021AB" w:rsidRDefault="005D2994" w:rsidP="005D2994">
      <w:pPr>
        <w:pStyle w:val="ListParagraph"/>
        <w:numPr>
          <w:ilvl w:val="0"/>
          <w:numId w:val="55"/>
        </w:numPr>
        <w:spacing w:before="0" w:after="200"/>
        <w:rPr>
          <w:rStyle w:val="Hyperlink"/>
          <w:color w:val="auto"/>
          <w:u w:val="none"/>
        </w:rPr>
      </w:pPr>
      <w:r w:rsidRPr="005021AB">
        <w:rPr>
          <w:rFonts w:ascii="Tahoma" w:eastAsia="Tahoma" w:hAnsi="Tahoma" w:cs="Tahoma"/>
        </w:rPr>
        <w:t xml:space="preserve">Coe, R., Aloisi, C., Higgins, S., &amp; Major, L. E. (2014). What makes great teaching? Review of the underpinning research. Durham University: UK. Accessible from: </w:t>
      </w:r>
      <w:hyperlink r:id="rId26" w:history="1">
        <w:r w:rsidRPr="005021AB">
          <w:rPr>
            <w:rStyle w:val="Hyperlink"/>
          </w:rPr>
          <w:t>What-Makes-Great-Teaching-REPORT.pdf</w:t>
        </w:r>
      </w:hyperlink>
      <w:r w:rsidRPr="005021AB">
        <w:t xml:space="preserve"> [Accessed: 31 July 2025]</w:t>
      </w:r>
      <w:r w:rsidRPr="005021AB">
        <w:rPr>
          <w:rStyle w:val="Hyperlink"/>
          <w:color w:val="auto"/>
          <w:u w:val="none"/>
        </w:rPr>
        <w:t xml:space="preserve"> </w:t>
      </w:r>
    </w:p>
    <w:p w14:paraId="42435280" w14:textId="77777777" w:rsidR="005D2994" w:rsidRDefault="005D2994" w:rsidP="005D2994">
      <w:pPr>
        <w:pStyle w:val="ListParagraph"/>
        <w:numPr>
          <w:ilvl w:val="0"/>
          <w:numId w:val="55"/>
        </w:numPr>
      </w:pPr>
      <w:r w:rsidRPr="0051581A">
        <w:t>Department for Education (2024). </w:t>
      </w:r>
      <w:r w:rsidRPr="0051581A">
        <w:rPr>
          <w:i/>
          <w:iCs/>
        </w:rPr>
        <w:t>Initial Teacher Training and Early Career Framework</w:t>
      </w:r>
      <w:r w:rsidRPr="0051581A">
        <w:t>. [online] </w:t>
      </w:r>
      <w:r w:rsidRPr="0051581A">
        <w:rPr>
          <w:i/>
          <w:iCs/>
        </w:rPr>
        <w:t>GOV.UK</w:t>
      </w:r>
      <w:r w:rsidRPr="0051581A">
        <w:t xml:space="preserve">, p.20. Available at: </w:t>
      </w:r>
      <w:hyperlink r:id="rId27" w:history="1">
        <w:r w:rsidRPr="00844BA1">
          <w:rPr>
            <w:rStyle w:val="Hyperlink"/>
          </w:rPr>
          <w:t>https://assets.publishing.service.gov.uk/media/661d24ac08c3be25cfbd3e61/Initial_Teacher_Training_and_Early_Career_Framework.pdf</w:t>
        </w:r>
      </w:hyperlink>
      <w:r w:rsidRPr="0051581A">
        <w:t>.</w:t>
      </w:r>
    </w:p>
    <w:p w14:paraId="2BC0BE8F" w14:textId="77777777" w:rsidR="005D2994" w:rsidRPr="005021AB" w:rsidRDefault="005D2994" w:rsidP="005D2994">
      <w:pPr>
        <w:pStyle w:val="ListParagraph"/>
        <w:numPr>
          <w:ilvl w:val="0"/>
          <w:numId w:val="55"/>
        </w:numPr>
      </w:pPr>
      <w:r w:rsidRPr="005021AB">
        <w:t xml:space="preserve">Education Endowment Foundation, (2021)., Special Educational Needs in Mainstream Schools guidance report. Available at: </w:t>
      </w:r>
      <w:hyperlink r:id="rId28" w:history="1">
        <w:r w:rsidRPr="005021AB">
          <w:rPr>
            <w:rStyle w:val="Hyperlink"/>
          </w:rPr>
          <w:t>Special Educational Needs in Mainstream Schools | EEF</w:t>
        </w:r>
      </w:hyperlink>
      <w:r w:rsidRPr="005021AB">
        <w:t xml:space="preserve"> [Accessed: 31 July 2025]</w:t>
      </w:r>
    </w:p>
    <w:p w14:paraId="1C5B476C" w14:textId="77777777" w:rsidR="005D2994" w:rsidRPr="0079294E" w:rsidRDefault="005D2994" w:rsidP="005D2994">
      <w:pPr>
        <w:pStyle w:val="ListParagraph"/>
        <w:numPr>
          <w:ilvl w:val="0"/>
          <w:numId w:val="55"/>
        </w:numPr>
        <w:spacing w:before="0" w:after="200"/>
      </w:pPr>
      <w:r w:rsidRPr="0079294E">
        <w:t>Education Endowment Foundation</w:t>
      </w:r>
      <w:r w:rsidRPr="0079294E">
        <w:rPr>
          <w:rFonts w:hint="eastAsia"/>
        </w:rPr>
        <w:t xml:space="preserve"> (20</w:t>
      </w:r>
      <w:r w:rsidRPr="0079294E">
        <w:t>22</w:t>
      </w:r>
      <w:r w:rsidRPr="0079294E">
        <w:rPr>
          <w:rFonts w:hint="eastAsia"/>
        </w:rPr>
        <w:t xml:space="preserve">) Improving Secondary Science. Guidance Report. Education Endowment Foundation. Available at: </w:t>
      </w:r>
      <w:hyperlink r:id="rId29" w:history="1">
        <w:r w:rsidRPr="0079294E">
          <w:rPr>
            <w:rStyle w:val="Hyperlink"/>
          </w:rPr>
          <w:t>Improving Secondary Science | EEF</w:t>
        </w:r>
      </w:hyperlink>
      <w:r w:rsidRPr="0079294E">
        <w:rPr>
          <w:rFonts w:hint="eastAsia"/>
        </w:rPr>
        <w:t xml:space="preserve"> </w:t>
      </w:r>
      <w:r w:rsidRPr="0079294E">
        <w:t>[Accessed: 31 July 2025]</w:t>
      </w:r>
    </w:p>
    <w:p w14:paraId="74CFBB0B" w14:textId="77777777" w:rsidR="005D2994" w:rsidRPr="005021AB" w:rsidRDefault="005D2994" w:rsidP="005D2994">
      <w:pPr>
        <w:pStyle w:val="ListParagraph"/>
        <w:numPr>
          <w:ilvl w:val="0"/>
          <w:numId w:val="55"/>
        </w:numPr>
        <w:rPr>
          <w:rFonts w:ascii="Tahoma" w:eastAsia="Tahoma" w:hAnsi="Tahoma" w:cs="Tahoma"/>
          <w:color w:val="004B62" w:themeColor="text1"/>
          <w:szCs w:val="24"/>
        </w:rPr>
      </w:pPr>
      <w:r w:rsidRPr="005021AB">
        <w:t xml:space="preserve">Education Endowment Foundation  (2024) A School’s Guide to Implementation Guidance Report. Available at: </w:t>
      </w:r>
      <w:hyperlink r:id="rId30" w:history="1">
        <w:r w:rsidRPr="005021AB">
          <w:rPr>
            <w:rStyle w:val="Hyperlink"/>
          </w:rPr>
          <w:t>https://d2tic4wvo1iusb.cloudfront.net/production/eef-guidance-</w:t>
        </w:r>
        <w:r w:rsidRPr="005021AB">
          <w:rPr>
            <w:rStyle w:val="Hyperlink"/>
          </w:rPr>
          <w:lastRenderedPageBreak/>
          <w:t>reports/implementation/a_schools_guide_to_implementation.pdf</w:t>
        </w:r>
      </w:hyperlink>
      <w:r w:rsidRPr="005021AB">
        <w:t>. [Accessed 4</w:t>
      </w:r>
      <w:r w:rsidRPr="005021AB">
        <w:rPr>
          <w:vertAlign w:val="superscript"/>
        </w:rPr>
        <w:t>th</w:t>
      </w:r>
      <w:r w:rsidRPr="005021AB">
        <w:t xml:space="preserve"> December 2025]. </w:t>
      </w:r>
    </w:p>
    <w:p w14:paraId="604799C4" w14:textId="77777777" w:rsidR="005D2994" w:rsidRPr="005021AB" w:rsidRDefault="005D2994" w:rsidP="005D2994">
      <w:pPr>
        <w:pStyle w:val="ListParagraph"/>
        <w:numPr>
          <w:ilvl w:val="0"/>
          <w:numId w:val="55"/>
        </w:numPr>
        <w:rPr>
          <w:rFonts w:ascii="Tahoma" w:eastAsia="Tahoma" w:hAnsi="Tahoma" w:cs="Tahoma"/>
          <w:color w:val="004B62" w:themeColor="text1"/>
          <w:szCs w:val="24"/>
        </w:rPr>
      </w:pPr>
      <w:r w:rsidRPr="005021AB">
        <w:t xml:space="preserve">Education Endowment Foundation, (2025)., Metacognition and Self-Regulated Learning guidance report. Available at </w:t>
      </w:r>
      <w:hyperlink r:id="rId31" w:history="1">
        <w:r w:rsidRPr="005021AB">
          <w:rPr>
            <w:rStyle w:val="Hyperlink"/>
          </w:rPr>
          <w:t>Metacognition and Self-regulated Learning | Education Endowment Foundation</w:t>
        </w:r>
      </w:hyperlink>
      <w:r w:rsidRPr="005021AB">
        <w:t xml:space="preserve"> [Accessed 4</w:t>
      </w:r>
      <w:r w:rsidRPr="005021AB">
        <w:rPr>
          <w:vertAlign w:val="superscript"/>
        </w:rPr>
        <w:t>th</w:t>
      </w:r>
      <w:r w:rsidRPr="005021AB">
        <w:t xml:space="preserve"> December 2025]. </w:t>
      </w:r>
    </w:p>
    <w:p w14:paraId="35E2EF50" w14:textId="77777777" w:rsidR="005D2994" w:rsidRPr="005021AB" w:rsidRDefault="005D2994" w:rsidP="005D2994">
      <w:pPr>
        <w:pStyle w:val="ListParagraph"/>
        <w:numPr>
          <w:ilvl w:val="0"/>
          <w:numId w:val="55"/>
        </w:numPr>
        <w:rPr>
          <w:rStyle w:val="normaltextrun"/>
        </w:rPr>
      </w:pPr>
      <w:r w:rsidRPr="005021AB">
        <w:t>Facione, P. A</w:t>
      </w:r>
      <w:r w:rsidRPr="005021AB">
        <w:rPr>
          <w:b/>
          <w:bCs/>
        </w:rPr>
        <w:t>.</w:t>
      </w:r>
      <w:r w:rsidRPr="005021AB">
        <w:t xml:space="preserve"> (1990). Critical Thinking: A Statement of Expert Consensus for Purposes of Educational Assessment and Instruction. The Delphi Report</w:t>
      </w:r>
    </w:p>
    <w:p w14:paraId="5E03943F" w14:textId="77777777" w:rsidR="005D2994" w:rsidRPr="005021AB" w:rsidRDefault="005D2994" w:rsidP="005D2994">
      <w:pPr>
        <w:pStyle w:val="ListParagraph"/>
        <w:numPr>
          <w:ilvl w:val="0"/>
          <w:numId w:val="55"/>
        </w:numPr>
        <w:spacing w:before="0" w:after="200"/>
      </w:pPr>
      <w:r w:rsidRPr="005021AB">
        <w:t>Harlen, W. &amp; James, M. (1997) Assessment and Learning: differences and relationships between formative and summative assessment, Assessment in Education: Principles, Policy &amp; Practice 4:3, 365-379.</w:t>
      </w:r>
    </w:p>
    <w:p w14:paraId="4A5B19F7" w14:textId="77777777" w:rsidR="005D2994" w:rsidRPr="005021AB" w:rsidRDefault="005D2994" w:rsidP="005D2994">
      <w:pPr>
        <w:pStyle w:val="ListParagraph"/>
        <w:numPr>
          <w:ilvl w:val="0"/>
          <w:numId w:val="55"/>
        </w:numPr>
        <w:spacing w:before="0" w:after="200"/>
      </w:pPr>
      <w:r w:rsidRPr="005021AB">
        <w:t>Heard, G., Trotman, J., &amp; O'Byrne, W. (2020). Critical thinking in the age of technology: How students can use digital tools to enhance learning. Journal of Educational Technology &amp; Society, 23(4), 1-11.</w:t>
      </w:r>
    </w:p>
    <w:p w14:paraId="23FFF3D8" w14:textId="77777777" w:rsidR="005D2994" w:rsidRPr="005021AB" w:rsidRDefault="005D2994" w:rsidP="005D2994">
      <w:pPr>
        <w:pStyle w:val="ListParagraph"/>
        <w:numPr>
          <w:ilvl w:val="0"/>
          <w:numId w:val="55"/>
        </w:numPr>
        <w:spacing w:before="0" w:after="200"/>
      </w:pPr>
      <w:r w:rsidRPr="005021AB">
        <w:t>Kirschner, P. A., Sweller, J., and Clark, R. E. (2006) Why minimal guidance during instruction does not work: an analysis of the failure of constructivist, discovery, problem-based, experiential, and inquiry-based teaching. Educational Psychologist 41 (2) 75-86</w:t>
      </w:r>
    </w:p>
    <w:p w14:paraId="2D3A7A84" w14:textId="77777777" w:rsidR="005D2994" w:rsidRPr="005021AB" w:rsidRDefault="005D2994" w:rsidP="005D2994">
      <w:pPr>
        <w:pStyle w:val="ListParagraph"/>
        <w:numPr>
          <w:ilvl w:val="0"/>
          <w:numId w:val="55"/>
        </w:numPr>
        <w:spacing w:before="0" w:after="200"/>
      </w:pPr>
      <w:r w:rsidRPr="005021AB">
        <w:t>National Research Council (1997) Science teaching reconsidered: A handbook. Washington, DC: National Academies Press. Washington </w:t>
      </w:r>
    </w:p>
    <w:p w14:paraId="377AD3A6" w14:textId="77777777" w:rsidR="005D2994" w:rsidRDefault="005D2994" w:rsidP="005D2994">
      <w:pPr>
        <w:pStyle w:val="ListParagraph"/>
        <w:numPr>
          <w:ilvl w:val="0"/>
          <w:numId w:val="55"/>
        </w:numPr>
      </w:pPr>
      <w:r>
        <w:t>Rich, P.R., Van Loon, M.H., Dunlosky, J. and Zaragoza, M.S., 2017. Belief in corrective feedback for common misconceptions: Implications for knowledge revision.</w:t>
      </w:r>
      <w:r>
        <w:rPr>
          <w:rFonts w:ascii="Arial" w:hAnsi="Arial" w:cs="Arial"/>
        </w:rPr>
        <w:t> </w:t>
      </w:r>
      <w:r>
        <w:t>Journal of Experimental Psychology: Learning, Memory, and Cognition,</w:t>
      </w:r>
      <w:r>
        <w:rPr>
          <w:rFonts w:ascii="Arial" w:hAnsi="Arial" w:cs="Arial"/>
        </w:rPr>
        <w:t> </w:t>
      </w:r>
      <w:r>
        <w:t xml:space="preserve">43(3), pp.492 -501. Belief in corrective feedback for common misconceptions: Implications for knowledge revision. (apa.org) </w:t>
      </w:r>
    </w:p>
    <w:p w14:paraId="7E165BE5" w14:textId="77777777" w:rsidR="005D2994" w:rsidRPr="005021AB" w:rsidRDefault="005D2994" w:rsidP="005D2994">
      <w:pPr>
        <w:pStyle w:val="ListParagraph"/>
        <w:numPr>
          <w:ilvl w:val="0"/>
          <w:numId w:val="55"/>
        </w:numPr>
        <w:spacing w:before="0" w:after="200"/>
        <w:rPr>
          <w:rStyle w:val="Hyperlink"/>
          <w:color w:val="auto"/>
          <w:u w:val="none"/>
        </w:rPr>
      </w:pPr>
      <w:r w:rsidRPr="005021AB">
        <w:t xml:space="preserve">Shulman, L. S. (1987). Knowledge and teaching: Foundations of the new reform. Harvard Educational Review, 57(1), 1-22. Available at </w:t>
      </w:r>
      <w:hyperlink r:id="rId32" w:history="1">
        <w:r w:rsidRPr="005021AB">
          <w:rPr>
            <w:rStyle w:val="Hyperlink"/>
          </w:rPr>
          <w:t>https://doi.org/10.17763/haer.57.1.j463w79r56455411</w:t>
        </w:r>
      </w:hyperlink>
      <w:r w:rsidRPr="005021AB">
        <w:t xml:space="preserve"> [Accessed: 31 July 2025]</w:t>
      </w:r>
      <w:r w:rsidRPr="005021AB">
        <w:rPr>
          <w:rStyle w:val="Hyperlink"/>
          <w:color w:val="auto"/>
          <w:u w:val="none"/>
        </w:rPr>
        <w:t xml:space="preserve"> </w:t>
      </w:r>
    </w:p>
    <w:p w14:paraId="3AD0632B" w14:textId="77777777" w:rsidR="005D2994" w:rsidRPr="005021AB" w:rsidRDefault="005D2994" w:rsidP="005D2994">
      <w:pPr>
        <w:pStyle w:val="ListParagraph"/>
        <w:numPr>
          <w:ilvl w:val="0"/>
          <w:numId w:val="55"/>
        </w:numPr>
        <w:spacing w:before="0" w:after="200"/>
        <w:rPr>
          <w:rStyle w:val="Hyperlink"/>
          <w:color w:val="auto"/>
          <w:u w:val="none"/>
        </w:rPr>
      </w:pPr>
      <w:r w:rsidRPr="005021AB">
        <w:t xml:space="preserve">Simonsmeier, B. A., Flaig, M., </w:t>
      </w:r>
      <w:proofErr w:type="spellStart"/>
      <w:r w:rsidRPr="005021AB">
        <w:t>Deiglmayr</w:t>
      </w:r>
      <w:proofErr w:type="spellEnd"/>
      <w:r w:rsidRPr="005021AB">
        <w:t xml:space="preserve">, A., Schalk, L., &amp; Schneider, M. (2022). Domain-specific prior knowledge and learning: A meta-analysis. Educational Psychologist, 57(1), 31–54. </w:t>
      </w:r>
      <w:hyperlink r:id="rId33" w:history="1">
        <w:r w:rsidRPr="005021AB">
          <w:rPr>
            <w:rStyle w:val="Hyperlink"/>
          </w:rPr>
          <w:t>https://doi.org/10.1080/00461520.2021.1939700</w:t>
        </w:r>
      </w:hyperlink>
      <w:r w:rsidRPr="005021AB">
        <w:t xml:space="preserve">  [Accessed: 31 July 2025]</w:t>
      </w:r>
      <w:r w:rsidRPr="005021AB">
        <w:rPr>
          <w:rStyle w:val="Hyperlink"/>
          <w:color w:val="auto"/>
          <w:u w:val="none"/>
        </w:rPr>
        <w:t xml:space="preserve"> </w:t>
      </w:r>
    </w:p>
    <w:p w14:paraId="67792F93" w14:textId="77777777" w:rsidR="005D2994" w:rsidRPr="005021AB" w:rsidRDefault="005D2994" w:rsidP="005D2994">
      <w:pPr>
        <w:pStyle w:val="ListParagraph"/>
        <w:numPr>
          <w:ilvl w:val="0"/>
          <w:numId w:val="55"/>
        </w:numPr>
        <w:spacing w:before="0" w:after="200"/>
        <w:rPr>
          <w:rStyle w:val="normaltextrun"/>
          <w:rFonts w:ascii="Tahoma" w:hAnsi="Tahoma" w:cs="Tahoma"/>
          <w:szCs w:val="24"/>
        </w:rPr>
      </w:pPr>
      <w:r w:rsidRPr="005021AB">
        <w:rPr>
          <w:rFonts w:ascii="Tahoma" w:hAnsi="Tahoma" w:cs="Tahoma"/>
          <w:szCs w:val="24"/>
        </w:rPr>
        <w:t>Sweller, J., Van Merrienboer, J.J. and Paas, F.G., (1998). Cognitive architecture and instructional design. Educational psychology review, pp.251-296.</w:t>
      </w:r>
    </w:p>
    <w:p w14:paraId="2F231B21" w14:textId="77777777" w:rsidR="005D2994" w:rsidRPr="005021AB" w:rsidRDefault="005D2994" w:rsidP="005D2994">
      <w:pPr>
        <w:pStyle w:val="ListParagraph"/>
        <w:numPr>
          <w:ilvl w:val="0"/>
          <w:numId w:val="55"/>
        </w:numPr>
        <w:spacing w:before="0" w:after="200"/>
        <w:rPr>
          <w:rStyle w:val="eop"/>
          <w:rFonts w:ascii="Segoe UI" w:hAnsi="Segoe UI" w:cs="Segoe UI"/>
          <w:sz w:val="18"/>
          <w:szCs w:val="18"/>
        </w:rPr>
      </w:pPr>
      <w:r w:rsidRPr="005021AB">
        <w:t>Willingham, D. T. (2002). Does knowledge help? American Educator, 26(2), 30-37.</w:t>
      </w:r>
    </w:p>
    <w:p w14:paraId="70D49D13" w14:textId="77777777" w:rsidR="005D2994" w:rsidRPr="005021AB" w:rsidRDefault="005D2994" w:rsidP="005D2994">
      <w:pPr>
        <w:pStyle w:val="ListParagraph"/>
        <w:numPr>
          <w:ilvl w:val="0"/>
          <w:numId w:val="55"/>
        </w:numPr>
        <w:spacing w:before="0" w:after="200"/>
        <w:rPr>
          <w:rFonts w:ascii="Segoe UI" w:hAnsi="Segoe UI" w:cs="Segoe UI"/>
          <w:sz w:val="18"/>
          <w:szCs w:val="18"/>
        </w:rPr>
      </w:pPr>
      <w:r w:rsidRPr="005021AB">
        <w:rPr>
          <w:shd w:val="clear" w:color="auto" w:fill="FFFFFF"/>
          <w:lang w:eastAsia="en-GB"/>
        </w:rPr>
        <w:t>Willingham, D. T. (2019). How to teach critical thinking. Education: Future Frontiers, 1, 1-17.</w:t>
      </w:r>
      <w:r w:rsidRPr="005021AB">
        <w:rPr>
          <w:lang w:eastAsia="en-GB"/>
        </w:rPr>
        <w:t xml:space="preserve"> </w:t>
      </w:r>
    </w:p>
    <w:p w14:paraId="24A4E5D7" w14:textId="4A6A3DC6" w:rsidR="009A222B" w:rsidRPr="00106D2C" w:rsidRDefault="004123C1" w:rsidP="00192703">
      <w:pPr>
        <w:tabs>
          <w:tab w:val="left" w:pos="1240"/>
        </w:tabs>
        <w:rPr>
          <w:b/>
          <w:bCs/>
        </w:rPr>
      </w:pPr>
      <w:hyperlink w:anchor="Content" w:history="1">
        <w:r w:rsidRPr="00420BAD">
          <w:rPr>
            <w:rStyle w:val="Hyperlink"/>
            <w:b/>
            <w:bCs/>
          </w:rPr>
          <w:t>Click here to return to the contents page.</w:t>
        </w:r>
      </w:hyperlink>
    </w:p>
    <w:p w14:paraId="38EA5F16" w14:textId="77777777" w:rsidR="009A222B" w:rsidRPr="00106D2C" w:rsidRDefault="009A222B">
      <w:pPr>
        <w:spacing w:before="0" w:after="200"/>
        <w:jc w:val="both"/>
        <w:rPr>
          <w:b/>
          <w:bCs/>
        </w:rPr>
      </w:pPr>
      <w:r w:rsidRPr="00106D2C">
        <w:rPr>
          <w:b/>
          <w:bCs/>
        </w:rPr>
        <w:br w:type="page"/>
      </w:r>
    </w:p>
    <w:p w14:paraId="124EA5D6" w14:textId="37AD8CDF" w:rsidR="008F0FE7" w:rsidRDefault="009A222B" w:rsidP="00420BAD">
      <w:pPr>
        <w:pStyle w:val="Heading"/>
      </w:pPr>
      <w:bookmarkStart w:id="20" w:name="RelatedECFStatements"/>
      <w:r w:rsidRPr="00420BAD">
        <w:lastRenderedPageBreak/>
        <w:t xml:space="preserve">Related </w:t>
      </w:r>
      <w:r w:rsidR="008F0770">
        <w:t xml:space="preserve">ITTECF </w:t>
      </w:r>
      <w:r w:rsidRPr="00420BAD">
        <w:t>statements</w:t>
      </w:r>
    </w:p>
    <w:bookmarkEnd w:id="20"/>
    <w:p w14:paraId="42D7AFF6" w14:textId="77777777" w:rsidR="00C872C8" w:rsidRDefault="00C872C8" w:rsidP="00C872C8">
      <w:pPr>
        <w:pStyle w:val="Subheading"/>
      </w:pPr>
      <w:r>
        <w:t>Demonstrate good subject and curriculum knowledge</w:t>
      </w:r>
    </w:p>
    <w:p w14:paraId="678644E2" w14:textId="77777777" w:rsidR="00C872C8" w:rsidRPr="006B12A3" w:rsidRDefault="00C872C8" w:rsidP="00C872C8">
      <w:pPr>
        <w:rPr>
          <w:b/>
          <w:bCs/>
        </w:rPr>
      </w:pPr>
      <w:r w:rsidRPr="006B12A3">
        <w:rPr>
          <w:b/>
          <w:bCs/>
        </w:rPr>
        <w:t>Learn that…</w:t>
      </w:r>
    </w:p>
    <w:p w14:paraId="250D8E1C" w14:textId="77777777" w:rsidR="00C872C8" w:rsidRDefault="00C872C8" w:rsidP="00C872C8">
      <w:r>
        <w:t>3.1. A school’s curriculum enables it to set out its vision for the knowledge, skills and values that its pupils will learn, encompassing the National Curriculum within a coherent wider vision for successful learning.</w:t>
      </w:r>
    </w:p>
    <w:p w14:paraId="14119341" w14:textId="77777777" w:rsidR="00C872C8" w:rsidRDefault="00C872C8" w:rsidP="00C872C8">
      <w:r>
        <w:t>3.2. Secure subject knowledge helps teachers to motivate pupils and teach effectively.</w:t>
      </w:r>
    </w:p>
    <w:p w14:paraId="014AD83E" w14:textId="77777777" w:rsidR="00C872C8" w:rsidRDefault="00C872C8" w:rsidP="00C872C8">
      <w:r>
        <w:t>3.3. Ensuring pupils master foundational concepts and knowledge before moving on is likely to build pupils’ confidence and help them succeed.</w:t>
      </w:r>
    </w:p>
    <w:p w14:paraId="2F567BC5" w14:textId="77777777" w:rsidR="00C872C8" w:rsidRDefault="00C872C8" w:rsidP="00C872C8">
      <w:r>
        <w:t>3.5. Explicitly teaching pupils the knowledge and skills they need to succeed within particular subject areas is beneficial.</w:t>
      </w:r>
    </w:p>
    <w:p w14:paraId="23D705B8" w14:textId="77777777" w:rsidR="00C872C8" w:rsidRDefault="00C872C8" w:rsidP="00C872C8">
      <w:r>
        <w:t>3.6. In order for pupils to think critically, they must have a secure understanding of knowledge within the subject area they are being asked to think critically about.</w:t>
      </w:r>
    </w:p>
    <w:p w14:paraId="0B0317F6" w14:textId="77777777" w:rsidR="00C872C8" w:rsidRDefault="00C872C8" w:rsidP="00C872C8">
      <w:r>
        <w:t>3.7. In all subject areas, pupils learn new ideas by linking those ideas to existing knowledge, organising this knowledge into increasingly complex mental models (or “schemata”); carefully sequencing teaching to facilitate this process is important.</w:t>
      </w:r>
    </w:p>
    <w:p w14:paraId="10BAE55D" w14:textId="77777777" w:rsidR="00C872C8" w:rsidRDefault="00C872C8" w:rsidP="00C872C8">
      <w:r>
        <w:t>3.8. Pupils are likely to struggle to transfer what has been learnt in one discipline to a new or unfamiliar context.</w:t>
      </w:r>
    </w:p>
    <w:p w14:paraId="6CFDEA53" w14:textId="77777777" w:rsidR="00C872C8" w:rsidRDefault="00C872C8" w:rsidP="00C872C8">
      <w:r>
        <w:t>3.11. Pupils’ positive dispositions and attitudes towards mathematics are associated with positive outcomes on learning.</w:t>
      </w:r>
    </w:p>
    <w:p w14:paraId="641369EC" w14:textId="77777777" w:rsidR="00C872C8" w:rsidRDefault="00C872C8" w:rsidP="00C872C8">
      <w:r>
        <w:t>3.12. Pupils' oral language skills can be supported by teaching new words and how to use and understand words within sentences or longer texts. This can help to address speech and language difficulties, especially for children in their early school years.</w:t>
      </w:r>
    </w:p>
    <w:p w14:paraId="57D37D64" w14:textId="77777777" w:rsidR="00C872C8" w:rsidRPr="006F03D5" w:rsidRDefault="00C872C8" w:rsidP="00C872C8">
      <w:pPr>
        <w:rPr>
          <w:b/>
          <w:bCs/>
        </w:rPr>
      </w:pPr>
      <w:r w:rsidRPr="006F03D5">
        <w:rPr>
          <w:b/>
          <w:bCs/>
        </w:rPr>
        <w:t>Learn how to…</w:t>
      </w:r>
    </w:p>
    <w:p w14:paraId="677E4C6D" w14:textId="77777777" w:rsidR="00C872C8" w:rsidRDefault="00C872C8" w:rsidP="00C872C8">
      <w:r>
        <w:t>Deliver a carefully sequenced and coherent curriculum, by:</w:t>
      </w:r>
    </w:p>
    <w:p w14:paraId="7346EF66" w14:textId="77777777" w:rsidR="00C872C8" w:rsidRDefault="00C872C8" w:rsidP="00C872C8">
      <w:r>
        <w:t>3.a. Identifying essential concepts, knowledge, skills and principles of the subject and providing opportunity for all pupils to learn and master these critical components.</w:t>
      </w:r>
    </w:p>
    <w:p w14:paraId="035B1B49" w14:textId="77777777" w:rsidR="00C872C8" w:rsidRDefault="00C872C8" w:rsidP="00C872C8">
      <w:r>
        <w:t>3.b. Ensuring pupils’ thinking is focused on key ideas within the subject.</w:t>
      </w:r>
    </w:p>
    <w:p w14:paraId="5932837A" w14:textId="77777777" w:rsidR="00C872C8" w:rsidRDefault="00C872C8" w:rsidP="00C872C8">
      <w:r>
        <w:t>3.e. Being aware of common misconceptions and discussing with experienced colleagues how to help pupils master important concepts.</w:t>
      </w:r>
    </w:p>
    <w:p w14:paraId="01EAD5DC" w14:textId="77777777" w:rsidR="00C872C8" w:rsidRDefault="00C872C8" w:rsidP="00C872C8">
      <w:r>
        <w:t>Support pupils to build increasingly complex mental models, by:</w:t>
      </w:r>
    </w:p>
    <w:p w14:paraId="291B1A09" w14:textId="77777777" w:rsidR="00C872C8" w:rsidRDefault="00C872C8" w:rsidP="00C872C8">
      <w:r>
        <w:t>3.g. Balancing exposition, repetition, practice of critical skills and knowledge.</w:t>
      </w:r>
    </w:p>
    <w:p w14:paraId="0FC29F32" w14:textId="77777777" w:rsidR="00C872C8" w:rsidRDefault="00C872C8" w:rsidP="00C872C8">
      <w:r>
        <w:lastRenderedPageBreak/>
        <w:t>3.h. Revisiting the big ideas of the subject over time and teaching key concepts through a range of examples.</w:t>
      </w:r>
    </w:p>
    <w:p w14:paraId="3861F610" w14:textId="77777777" w:rsidR="00C872C8" w:rsidRDefault="00C872C8" w:rsidP="00C872C8">
      <w:r>
        <w:t>3.i. Drawing explicit links between new content and the core concepts and principles in the subject.</w:t>
      </w:r>
    </w:p>
    <w:p w14:paraId="2129A6CC" w14:textId="77777777" w:rsidR="00C872C8" w:rsidRDefault="00C872C8" w:rsidP="00C872C8">
      <w:r>
        <w:t>Develop fluency, by:</w:t>
      </w:r>
    </w:p>
    <w:p w14:paraId="55F09190" w14:textId="77777777" w:rsidR="00C872C8" w:rsidRDefault="00C872C8" w:rsidP="00C872C8">
      <w:r>
        <w:t>3.j. Providing tasks that support pupils to learn key ideas securely (for example: quizzing pupils so they develop fluency with times tables).</w:t>
      </w:r>
    </w:p>
    <w:p w14:paraId="090D16A9" w14:textId="77777777" w:rsidR="00C872C8" w:rsidRDefault="00C872C8" w:rsidP="00C872C8">
      <w:r>
        <w:t>3.k. Using retrieval and spaced practice to build automatic recall and application of key knowledge.</w:t>
      </w:r>
    </w:p>
    <w:p w14:paraId="562B0099" w14:textId="77777777" w:rsidR="00C872C8" w:rsidRDefault="00C872C8" w:rsidP="00C872C8">
      <w:r>
        <w:t>Help pupils apply knowledge and skills to other contexts, by:</w:t>
      </w:r>
    </w:p>
    <w:p w14:paraId="4AC2D80E" w14:textId="77777777" w:rsidR="00C872C8" w:rsidRDefault="00C872C8" w:rsidP="00C872C8">
      <w:r>
        <w:t>3.l. Ensuring pupils have relevant domain-specific knowledge, especially when being asked to think critically within a subject.</w:t>
      </w:r>
    </w:p>
    <w:p w14:paraId="2FE76F32" w14:textId="77777777" w:rsidR="00C872C8" w:rsidRDefault="00C872C8" w:rsidP="00C872C8">
      <w:r>
        <w:t>3.m. Interleaving concrete and abstract examples, slowly withdrawing concrete examples and drawing attention to the underlying structure of problems.</w:t>
      </w:r>
    </w:p>
    <w:p w14:paraId="5CA1B066" w14:textId="77777777" w:rsidR="00C872C8" w:rsidRDefault="00C872C8" w:rsidP="00C872C8">
      <w:r>
        <w:t>Develop pupils’ literacy, by:</w:t>
      </w:r>
    </w:p>
    <w:p w14:paraId="41F90DB9" w14:textId="77777777" w:rsidR="00C872C8" w:rsidRDefault="00C872C8" w:rsidP="00C872C8">
      <w:r>
        <w:t>3.p. Teaching unfamiliar vocabulary explicitly and planning for pupils to be repeatedly exposed to high-utility and high-frequency vocabulary in what is taught.</w:t>
      </w:r>
    </w:p>
    <w:p w14:paraId="0A9055CA" w14:textId="77777777" w:rsidR="00C872C8" w:rsidRPr="00544D63" w:rsidRDefault="00C872C8" w:rsidP="00C872C8">
      <w:pPr>
        <w:pStyle w:val="Subheading"/>
      </w:pPr>
      <w:r>
        <w:t>Fulfil wider professional responsibilities</w:t>
      </w:r>
    </w:p>
    <w:p w14:paraId="5E37E938" w14:textId="77777777" w:rsidR="00C872C8" w:rsidRPr="006B12A3" w:rsidRDefault="00C872C8" w:rsidP="00C872C8">
      <w:pPr>
        <w:rPr>
          <w:b/>
          <w:bCs/>
        </w:rPr>
      </w:pPr>
      <w:r w:rsidRPr="006B12A3">
        <w:rPr>
          <w:b/>
          <w:bCs/>
        </w:rPr>
        <w:t>Learn that…</w:t>
      </w:r>
    </w:p>
    <w:p w14:paraId="21FAE416" w14:textId="77777777" w:rsidR="00C872C8" w:rsidRPr="00317C09" w:rsidRDefault="00C872C8" w:rsidP="00C872C8">
      <w:pPr>
        <w:spacing w:before="0" w:after="200"/>
      </w:pPr>
      <w:r w:rsidRPr="00317C09">
        <w:t>8.1. Effective professional development is likely to be sustained over time,  building knowledge, motivating staff, developing teaching techniques, and embedding practice.</w:t>
      </w:r>
    </w:p>
    <w:p w14:paraId="310CD232" w14:textId="77777777" w:rsidR="00C872C8" w:rsidRPr="00317C09" w:rsidRDefault="00C872C8" w:rsidP="00C872C8">
      <w:pPr>
        <w:spacing w:before="0" w:after="200"/>
      </w:pPr>
      <w:r w:rsidRPr="00317C09">
        <w:t>8.2. Reflective practice, supported by feedback from and observation of experienced colleagues, professional debate, and learning from educational research, is also likely to support improvement.</w:t>
      </w:r>
    </w:p>
    <w:p w14:paraId="53E89677" w14:textId="77777777" w:rsidR="00C872C8" w:rsidRPr="00317C09" w:rsidRDefault="00C872C8" w:rsidP="00C872C8">
      <w:pPr>
        <w:spacing w:before="0" w:after="200"/>
      </w:pPr>
      <w:r w:rsidRPr="00317C09">
        <w:t>8.3. Teachers can make valuable contributions to the wider life of the school in a broad range of ways, including by supporting and developing effective professional relationships with colleagues.</w:t>
      </w:r>
    </w:p>
    <w:p w14:paraId="1CE125F4" w14:textId="77777777" w:rsidR="00C872C8" w:rsidRPr="00317C09" w:rsidRDefault="00C872C8" w:rsidP="00C872C8">
      <w:pPr>
        <w:spacing w:before="0" w:after="200"/>
      </w:pPr>
      <w:r w:rsidRPr="00317C09">
        <w:t>8.7. Engaging in high-quality professional development can help teachers improve.</w:t>
      </w:r>
    </w:p>
    <w:p w14:paraId="0479C980" w14:textId="77777777" w:rsidR="00C872C8" w:rsidRPr="00317C09" w:rsidRDefault="00C872C8" w:rsidP="00C872C8">
      <w:pPr>
        <w:spacing w:before="0" w:after="200"/>
      </w:pPr>
      <w:r w:rsidRPr="00317C09">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4F33EE65" w14:textId="77777777" w:rsidR="00C872C8" w:rsidRDefault="00C872C8" w:rsidP="00C872C8">
      <w:pPr>
        <w:spacing w:before="0" w:after="200"/>
        <w:jc w:val="both"/>
        <w:rPr>
          <w:b/>
          <w:bCs/>
        </w:rPr>
      </w:pPr>
      <w:r w:rsidRPr="006F03D5">
        <w:rPr>
          <w:b/>
          <w:bCs/>
        </w:rPr>
        <w:t xml:space="preserve">Learn </w:t>
      </w:r>
      <w:r>
        <w:rPr>
          <w:b/>
          <w:bCs/>
        </w:rPr>
        <w:t>how to…</w:t>
      </w:r>
    </w:p>
    <w:p w14:paraId="164D69B1" w14:textId="77777777" w:rsidR="00C872C8" w:rsidRDefault="00C872C8" w:rsidP="00C872C8">
      <w:pPr>
        <w:spacing w:before="0" w:after="200"/>
        <w:jc w:val="both"/>
      </w:pPr>
      <w:r>
        <w:lastRenderedPageBreak/>
        <w:t>Develop as a professional, by:</w:t>
      </w:r>
    </w:p>
    <w:p w14:paraId="32DC6C57" w14:textId="77777777" w:rsidR="00C872C8" w:rsidRDefault="00C872C8" w:rsidP="00C872C8">
      <w:pPr>
        <w:spacing w:before="0" w:after="200"/>
      </w:pPr>
      <w:r>
        <w:t>8.a. Engaging in professional development focused on developing an area of practice with clear intentions for impact on pupil outcomes, sustained over time with built-in opportunities for practice.</w:t>
      </w:r>
    </w:p>
    <w:p w14:paraId="4D35128E" w14:textId="77777777" w:rsidR="00C872C8" w:rsidRDefault="00C872C8" w:rsidP="00C872C8">
      <w:pPr>
        <w:spacing w:before="0" w:after="200"/>
      </w:pPr>
      <w:r>
        <w:t>8.c. Seeking challenge, feedback and critique from mentors and other colleagues in an open and trusting working environment.</w:t>
      </w:r>
    </w:p>
    <w:p w14:paraId="0815C055" w14:textId="77777777" w:rsidR="00C872C8" w:rsidRDefault="00C872C8" w:rsidP="00C872C8">
      <w:pPr>
        <w:spacing w:before="0" w:after="200"/>
      </w:pPr>
      <w:r>
        <w:t>8.d. Engaging with research evidence by accessing reliable sources, seeking support for how findings can inform practice, and monitoring the impact of applications.</w:t>
      </w:r>
    </w:p>
    <w:p w14:paraId="45804230" w14:textId="77777777" w:rsidR="00C872C8" w:rsidRDefault="00C872C8" w:rsidP="00C872C8">
      <w:pPr>
        <w:spacing w:before="0" w:after="200"/>
      </w:pPr>
      <w:r>
        <w:t>8.e. Reflecting on progress made, recognising strengths and weaknesses and identifying next steps for further improvement.</w:t>
      </w:r>
    </w:p>
    <w:p w14:paraId="647805F3" w14:textId="77777777" w:rsidR="00C872C8" w:rsidRPr="00B15040" w:rsidRDefault="00C872C8" w:rsidP="00C872C8"/>
    <w:p w14:paraId="24E8D311" w14:textId="77777777" w:rsidR="007567F1" w:rsidRDefault="007567F1" w:rsidP="007567F1">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2F6BD1A2" w14:textId="06BD9A18" w:rsidR="008F0FE7" w:rsidRPr="00106D2C" w:rsidRDefault="008F0FE7" w:rsidP="00420BAD">
      <w:pPr>
        <w:spacing w:before="0" w:after="200"/>
        <w:rPr>
          <w:rFonts w:ascii="Tahoma" w:hAnsi="Tahoma" w:cs="Tahoma"/>
          <w:b/>
          <w:bCs/>
          <w:sz w:val="28"/>
          <w:szCs w:val="28"/>
        </w:rPr>
      </w:pPr>
      <w:r w:rsidRPr="00106D2C">
        <w:br w:type="page"/>
      </w:r>
    </w:p>
    <w:p w14:paraId="66D88C9E" w14:textId="367911B9" w:rsidR="0071127D" w:rsidRPr="00601528" w:rsidRDefault="0071127D" w:rsidP="0071127D">
      <w:pPr>
        <w:pStyle w:val="Heading"/>
      </w:pPr>
      <w:bookmarkStart w:id="21" w:name="Appendix1"/>
      <w:r>
        <w:lastRenderedPageBreak/>
        <w:t xml:space="preserve">Appendix </w:t>
      </w:r>
      <w:r w:rsidR="00D61CA6">
        <w:t>1</w:t>
      </w:r>
      <w:r>
        <w:t xml:space="preserve">: </w:t>
      </w:r>
      <w:bookmarkEnd w:id="21"/>
      <w:r>
        <w:t xml:space="preserve">Suggested </w:t>
      </w:r>
      <w:r w:rsidR="00EB65C7">
        <w:t>a</w:t>
      </w:r>
      <w:r>
        <w:t xml:space="preserve">ction </w:t>
      </w:r>
      <w:r w:rsidR="00EB65C7">
        <w:t>s</w:t>
      </w:r>
      <w:r>
        <w:t>teps</w:t>
      </w:r>
    </w:p>
    <w:p w14:paraId="1C978376" w14:textId="77777777" w:rsidR="0071127D" w:rsidRDefault="0071127D" w:rsidP="0071127D">
      <w:r w:rsidRPr="00D60B26">
        <w:t xml:space="preserve">A series of suggested action steps have been provided for each of the readings. These are supported with specific examples for each phase. </w:t>
      </w:r>
    </w:p>
    <w:tbl>
      <w:tblPr>
        <w:tblStyle w:val="TableGrid1"/>
        <w:tblW w:w="0" w:type="auto"/>
        <w:tblLook w:val="04A0" w:firstRow="1" w:lastRow="0" w:firstColumn="1" w:lastColumn="0" w:noHBand="0" w:noVBand="1"/>
      </w:tblPr>
      <w:tblGrid>
        <w:gridCol w:w="2948"/>
        <w:gridCol w:w="2948"/>
        <w:gridCol w:w="2948"/>
      </w:tblGrid>
      <w:tr w:rsidR="007F388D" w14:paraId="6DD1945A" w14:textId="77777777" w:rsidTr="007F388D">
        <w:tc>
          <w:tcPr>
            <w:tcW w:w="2948" w:type="dxa"/>
          </w:tcPr>
          <w:p w14:paraId="21BD437E" w14:textId="3C29037F" w:rsidR="007F388D" w:rsidRPr="00A306B2" w:rsidRDefault="007F388D" w:rsidP="00B54B48">
            <w:pPr>
              <w:jc w:val="center"/>
              <w:rPr>
                <w:rFonts w:asciiTheme="minorHAnsi" w:eastAsiaTheme="minorEastAsia" w:hAnsiTheme="minorHAnsi" w:cstheme="minorHAnsi"/>
                <w:color w:val="0070C0"/>
                <w:spacing w:val="0"/>
                <w:kern w:val="0"/>
              </w:rPr>
            </w:pPr>
            <w:hyperlink w:anchor="R1actionsteps" w:history="1">
              <w:r w:rsidRPr="00A306B2">
                <w:rPr>
                  <w:rStyle w:val="Hyperlink"/>
                  <w:rFonts w:asciiTheme="minorHAnsi" w:eastAsiaTheme="minorEastAsia" w:hAnsiTheme="minorHAnsi" w:cstheme="minorHAnsi"/>
                  <w:color w:val="0070C0"/>
                  <w:spacing w:val="0"/>
                  <w:kern w:val="0"/>
                </w:rPr>
                <w:t>R</w:t>
              </w:r>
              <w:r w:rsidRPr="00A306B2">
                <w:rPr>
                  <w:rStyle w:val="Hyperlink"/>
                  <w:color w:val="0070C0"/>
                </w:rPr>
                <w:t>eading 1 action steps</w:t>
              </w:r>
            </w:hyperlink>
          </w:p>
        </w:tc>
        <w:tc>
          <w:tcPr>
            <w:tcW w:w="2948" w:type="dxa"/>
          </w:tcPr>
          <w:p w14:paraId="74D30832" w14:textId="5E0654C4" w:rsidR="007F388D" w:rsidRPr="00A306B2" w:rsidRDefault="007F388D" w:rsidP="00B54B48">
            <w:pPr>
              <w:jc w:val="center"/>
              <w:rPr>
                <w:rFonts w:asciiTheme="minorHAnsi" w:eastAsiaTheme="minorEastAsia" w:hAnsiTheme="minorHAnsi" w:cstheme="minorHAnsi"/>
                <w:color w:val="0070C0"/>
                <w:spacing w:val="0"/>
                <w:kern w:val="0"/>
              </w:rPr>
            </w:pPr>
            <w:hyperlink w:anchor="R2actionsteps" w:history="1">
              <w:r w:rsidRPr="00A306B2">
                <w:rPr>
                  <w:rStyle w:val="Hyperlink"/>
                  <w:rFonts w:asciiTheme="minorHAnsi" w:eastAsiaTheme="minorEastAsia" w:hAnsiTheme="minorHAnsi" w:cstheme="minorHAnsi"/>
                  <w:color w:val="0070C0"/>
                  <w:spacing w:val="0"/>
                  <w:kern w:val="0"/>
                </w:rPr>
                <w:t>Reading 2 action steps</w:t>
              </w:r>
            </w:hyperlink>
          </w:p>
        </w:tc>
        <w:tc>
          <w:tcPr>
            <w:tcW w:w="2948" w:type="dxa"/>
          </w:tcPr>
          <w:p w14:paraId="5EEE54AF" w14:textId="2222B563" w:rsidR="007F388D" w:rsidRPr="00A306B2" w:rsidRDefault="007F388D" w:rsidP="00B54B48">
            <w:pPr>
              <w:jc w:val="center"/>
              <w:rPr>
                <w:rFonts w:asciiTheme="minorHAnsi" w:eastAsiaTheme="minorEastAsia" w:hAnsiTheme="minorHAnsi" w:cstheme="minorHAnsi"/>
                <w:color w:val="0070C0"/>
                <w:spacing w:val="0"/>
                <w:kern w:val="0"/>
              </w:rPr>
            </w:pPr>
            <w:hyperlink w:anchor="R3actionsteps" w:history="1">
              <w:r w:rsidRPr="00A306B2">
                <w:rPr>
                  <w:rStyle w:val="Hyperlink"/>
                  <w:rFonts w:asciiTheme="minorHAnsi" w:eastAsiaTheme="minorEastAsia" w:hAnsiTheme="minorHAnsi" w:cstheme="minorHAnsi"/>
                  <w:color w:val="0070C0"/>
                  <w:spacing w:val="0"/>
                  <w:kern w:val="0"/>
                </w:rPr>
                <w:t>Reading 3 action steps</w:t>
              </w:r>
            </w:hyperlink>
          </w:p>
        </w:tc>
      </w:tr>
    </w:tbl>
    <w:p w14:paraId="5E03F169" w14:textId="77777777" w:rsidR="00070A6E" w:rsidRPr="00B01743" w:rsidRDefault="00070A6E" w:rsidP="00070A6E">
      <w:pPr>
        <w:pStyle w:val="Subheading"/>
      </w:pPr>
      <w:bookmarkStart w:id="22" w:name="R1actionsteps"/>
      <w:r w:rsidRPr="00B01743">
        <w:t>Reading 1 - Possible action steps</w:t>
      </w:r>
    </w:p>
    <w:bookmarkEnd w:id="22"/>
    <w:p w14:paraId="58514021" w14:textId="77777777" w:rsidR="00070A6E" w:rsidRPr="00F522B8" w:rsidRDefault="00070A6E" w:rsidP="00070A6E">
      <w:pPr>
        <w:rPr>
          <w:b/>
          <w:bCs/>
          <w:color w:val="007559"/>
        </w:rPr>
      </w:pPr>
      <w:r w:rsidRPr="00B01743">
        <w:t xml:space="preserve">Consider one of the following which draw on the work </w:t>
      </w:r>
      <w:r w:rsidRPr="007753F2">
        <w:t>of</w:t>
      </w:r>
      <w:r w:rsidRPr="00A14247">
        <w:t xml:space="preserve"> </w:t>
      </w:r>
      <w:r>
        <w:t>Willingham</w:t>
      </w:r>
      <w:r w:rsidRPr="00A14247">
        <w:t xml:space="preserve"> (20</w:t>
      </w:r>
      <w:r>
        <w:t>02</w:t>
      </w:r>
      <w:r w:rsidRPr="00A14247">
        <w:t>)</w:t>
      </w:r>
    </w:p>
    <w:p w14:paraId="40161CE9" w14:textId="77777777" w:rsidR="00070A6E" w:rsidRPr="00546D73" w:rsidRDefault="00070A6E" w:rsidP="00070A6E">
      <w:pPr>
        <w:pStyle w:val="ListParagraph"/>
        <w:numPr>
          <w:ilvl w:val="0"/>
          <w:numId w:val="57"/>
        </w:numPr>
      </w:pPr>
      <w:r>
        <w:t>Plan to incorporate a range of examples and non-examples in your exposition to support pupils develop their understanding of abstract concepts and improve their flexible knowledge.</w:t>
      </w:r>
    </w:p>
    <w:tbl>
      <w:tblPr>
        <w:tblStyle w:val="TableGrid1"/>
        <w:tblW w:w="0" w:type="auto"/>
        <w:tblLook w:val="04A0" w:firstRow="1" w:lastRow="0" w:firstColumn="1" w:lastColumn="0" w:noHBand="0" w:noVBand="1"/>
      </w:tblPr>
      <w:tblGrid>
        <w:gridCol w:w="1836"/>
        <w:gridCol w:w="7160"/>
      </w:tblGrid>
      <w:tr w:rsidR="00070A6E" w:rsidRPr="00AC3F57" w14:paraId="6F8C84F8" w14:textId="77777777" w:rsidTr="007273C6">
        <w:tc>
          <w:tcPr>
            <w:tcW w:w="1838" w:type="dxa"/>
          </w:tcPr>
          <w:p w14:paraId="2B5FF834" w14:textId="77777777" w:rsidR="00070A6E" w:rsidRPr="00AC3F57" w:rsidRDefault="00070A6E" w:rsidP="007273C6">
            <w:pPr>
              <w:rPr>
                <w:spacing w:val="0"/>
              </w:rPr>
            </w:pPr>
            <w:r w:rsidRPr="00AC3F57">
              <w:rPr>
                <w:spacing w:val="0"/>
              </w:rPr>
              <w:t>EYFS</w:t>
            </w:r>
          </w:p>
        </w:tc>
        <w:tc>
          <w:tcPr>
            <w:tcW w:w="7178" w:type="dxa"/>
          </w:tcPr>
          <w:p w14:paraId="1BC1A967" w14:textId="77777777" w:rsidR="00070A6E" w:rsidRPr="00AC3F57" w:rsidRDefault="00070A6E" w:rsidP="007273C6">
            <w:pPr>
              <w:rPr>
                <w:spacing w:val="0"/>
              </w:rPr>
            </w:pPr>
            <w:r w:rsidRPr="00AC3F57">
              <w:rPr>
                <w:spacing w:val="0"/>
              </w:rPr>
              <w:t xml:space="preserve">Use concrete objects to show examples and non-examples, such as grouping shapes that </w:t>
            </w:r>
            <w:r w:rsidRPr="00AC3F57">
              <w:rPr>
                <w:i/>
                <w:iCs/>
                <w:spacing w:val="0"/>
              </w:rPr>
              <w:t>are</w:t>
            </w:r>
            <w:r w:rsidRPr="00AC3F57">
              <w:rPr>
                <w:spacing w:val="0"/>
              </w:rPr>
              <w:t xml:space="preserve"> circles and shapes that are not circles.</w:t>
            </w:r>
            <w:r w:rsidRPr="00AC3F57">
              <w:rPr>
                <w:spacing w:val="0"/>
              </w:rPr>
              <w:br/>
              <w:t>Model sorting with clear verbal explanations: ‘This belongs because… This does not because…’.</w:t>
            </w:r>
          </w:p>
        </w:tc>
      </w:tr>
      <w:tr w:rsidR="00070A6E" w:rsidRPr="00AC3F57" w14:paraId="0B38731D" w14:textId="77777777" w:rsidTr="007273C6">
        <w:tc>
          <w:tcPr>
            <w:tcW w:w="1838" w:type="dxa"/>
          </w:tcPr>
          <w:p w14:paraId="7CD612E7" w14:textId="77777777" w:rsidR="00070A6E" w:rsidRPr="00AC3F57" w:rsidRDefault="00070A6E" w:rsidP="007273C6">
            <w:pPr>
              <w:rPr>
                <w:spacing w:val="0"/>
              </w:rPr>
            </w:pPr>
            <w:r w:rsidRPr="00AC3F57">
              <w:rPr>
                <w:spacing w:val="0"/>
              </w:rPr>
              <w:t>Primary</w:t>
            </w:r>
          </w:p>
        </w:tc>
        <w:tc>
          <w:tcPr>
            <w:tcW w:w="7178" w:type="dxa"/>
          </w:tcPr>
          <w:p w14:paraId="3BA02F04" w14:textId="77777777" w:rsidR="00070A6E" w:rsidRPr="00AC3F57" w:rsidRDefault="00070A6E" w:rsidP="007273C6">
            <w:pPr>
              <w:rPr>
                <w:spacing w:val="0"/>
              </w:rPr>
            </w:pPr>
            <w:r w:rsidRPr="00AC3F57">
              <w:rPr>
                <w:spacing w:val="0"/>
              </w:rPr>
              <w:t>Show multiple examples of a concept (e.g., fractions) and contrast them with non-examples to help pupils see what the idea is and is not.</w:t>
            </w:r>
            <w:r w:rsidRPr="00AC3F57">
              <w:rPr>
                <w:spacing w:val="0"/>
              </w:rPr>
              <w:br/>
              <w:t>Use visual representations and brief comparisons to highlight the underlying rule.</w:t>
            </w:r>
          </w:p>
        </w:tc>
      </w:tr>
      <w:tr w:rsidR="00070A6E" w:rsidRPr="00AC3F57" w14:paraId="1EB33F29" w14:textId="77777777" w:rsidTr="007273C6">
        <w:tc>
          <w:tcPr>
            <w:tcW w:w="1838" w:type="dxa"/>
          </w:tcPr>
          <w:p w14:paraId="0FA4DE07" w14:textId="77777777" w:rsidR="00070A6E" w:rsidRPr="00AC3F57" w:rsidRDefault="00070A6E" w:rsidP="007273C6">
            <w:pPr>
              <w:rPr>
                <w:spacing w:val="0"/>
              </w:rPr>
            </w:pPr>
            <w:r w:rsidRPr="00AC3F57">
              <w:rPr>
                <w:spacing w:val="0"/>
              </w:rPr>
              <w:t>Secondary</w:t>
            </w:r>
          </w:p>
        </w:tc>
        <w:tc>
          <w:tcPr>
            <w:tcW w:w="7178" w:type="dxa"/>
          </w:tcPr>
          <w:p w14:paraId="42E678C0" w14:textId="77777777" w:rsidR="00070A6E" w:rsidRPr="00AC3F57" w:rsidRDefault="00070A6E" w:rsidP="007273C6">
            <w:pPr>
              <w:rPr>
                <w:spacing w:val="0"/>
              </w:rPr>
            </w:pPr>
            <w:r w:rsidRPr="00AC3F57">
              <w:rPr>
                <w:spacing w:val="0"/>
              </w:rPr>
              <w:t>Present varied examples of a concept from the subject domain and contrast them with non-examples to draw attention to the deep structure.</w:t>
            </w:r>
            <w:r w:rsidRPr="00AC3F57">
              <w:rPr>
                <w:spacing w:val="0"/>
              </w:rPr>
              <w:br/>
              <w:t>Explain explicitly why each example fits the concept and why each non-example does not.</w:t>
            </w:r>
          </w:p>
        </w:tc>
      </w:tr>
      <w:tr w:rsidR="00070A6E" w:rsidRPr="00AC3F57" w14:paraId="25ABEE08" w14:textId="77777777" w:rsidTr="007273C6">
        <w:tc>
          <w:tcPr>
            <w:tcW w:w="1838" w:type="dxa"/>
          </w:tcPr>
          <w:p w14:paraId="5D8AC077" w14:textId="77777777" w:rsidR="00070A6E" w:rsidRPr="00AC3F57" w:rsidRDefault="00070A6E" w:rsidP="007273C6">
            <w:pPr>
              <w:rPr>
                <w:spacing w:val="0"/>
              </w:rPr>
            </w:pPr>
            <w:r w:rsidRPr="00AC3F57">
              <w:rPr>
                <w:spacing w:val="0"/>
              </w:rPr>
              <w:t>Specialist – SEND setting</w:t>
            </w:r>
          </w:p>
        </w:tc>
        <w:tc>
          <w:tcPr>
            <w:tcW w:w="7178" w:type="dxa"/>
          </w:tcPr>
          <w:p w14:paraId="2F067464" w14:textId="77777777" w:rsidR="00070A6E" w:rsidRPr="00AC3F57" w:rsidRDefault="00070A6E" w:rsidP="007273C6">
            <w:pPr>
              <w:rPr>
                <w:spacing w:val="0"/>
              </w:rPr>
            </w:pPr>
            <w:r w:rsidRPr="00AC3F57">
              <w:rPr>
                <w:spacing w:val="0"/>
              </w:rPr>
              <w:t>Use scaffolded, step-by-step comparison activities that contrast one clear example with one clear non-example.</w:t>
            </w:r>
            <w:r w:rsidRPr="00AC3F57">
              <w:rPr>
                <w:spacing w:val="0"/>
              </w:rPr>
              <w:br/>
              <w:t>Revisit these comparisons in short cycles to reinforce the underlying idea.</w:t>
            </w:r>
          </w:p>
        </w:tc>
      </w:tr>
      <w:tr w:rsidR="00070A6E" w:rsidRPr="00AC3F57" w14:paraId="0D20F598" w14:textId="77777777" w:rsidTr="007273C6">
        <w:tc>
          <w:tcPr>
            <w:tcW w:w="1838" w:type="dxa"/>
          </w:tcPr>
          <w:p w14:paraId="4FD76A3E" w14:textId="77777777" w:rsidR="00070A6E" w:rsidRPr="00AC3F57" w:rsidRDefault="00070A6E" w:rsidP="007273C6">
            <w:pPr>
              <w:rPr>
                <w:spacing w:val="0"/>
              </w:rPr>
            </w:pPr>
            <w:r w:rsidRPr="00AC3F57">
              <w:rPr>
                <w:spacing w:val="0"/>
              </w:rPr>
              <w:t>Specialist – Alternative Provision setting</w:t>
            </w:r>
          </w:p>
        </w:tc>
        <w:tc>
          <w:tcPr>
            <w:tcW w:w="7178" w:type="dxa"/>
          </w:tcPr>
          <w:p w14:paraId="1613B55A" w14:textId="77777777" w:rsidR="00070A6E" w:rsidRPr="00AC3F57" w:rsidRDefault="00070A6E" w:rsidP="007273C6">
            <w:pPr>
              <w:rPr>
                <w:spacing w:val="0"/>
              </w:rPr>
            </w:pPr>
            <w:r w:rsidRPr="00AC3F57">
              <w:rPr>
                <w:spacing w:val="0"/>
              </w:rPr>
              <w:t>Select real-world, relatable examples and non-examples to make abstract ideas more concrete.</w:t>
            </w:r>
            <w:r w:rsidRPr="00AC3F57">
              <w:rPr>
                <w:spacing w:val="0"/>
              </w:rPr>
              <w:br/>
              <w:t>Break down the comparison into small, manageable steps and reinforce the core idea through discussion.</w:t>
            </w:r>
          </w:p>
        </w:tc>
      </w:tr>
    </w:tbl>
    <w:p w14:paraId="447A8F07" w14:textId="77777777" w:rsidR="00070A6E" w:rsidRPr="00AC3F57" w:rsidRDefault="00070A6E" w:rsidP="00070A6E"/>
    <w:p w14:paraId="2CCDCBF9" w14:textId="77777777" w:rsidR="00070A6E" w:rsidRPr="00AC3F57" w:rsidRDefault="00070A6E" w:rsidP="00070A6E">
      <w:pPr>
        <w:pStyle w:val="ListParagraph"/>
        <w:numPr>
          <w:ilvl w:val="0"/>
          <w:numId w:val="57"/>
        </w:numPr>
        <w:rPr>
          <w:lang w:val="en-US"/>
        </w:rPr>
      </w:pPr>
      <w:r w:rsidRPr="00AC3F57">
        <w:lastRenderedPageBreak/>
        <w:t>Use targeted questioning to promote flexible knowledge by planning a series of questions designed to challenge pupils’ understanding of concepts.</w:t>
      </w:r>
    </w:p>
    <w:tbl>
      <w:tblPr>
        <w:tblStyle w:val="TableGrid1"/>
        <w:tblW w:w="0" w:type="auto"/>
        <w:tblLook w:val="04A0" w:firstRow="1" w:lastRow="0" w:firstColumn="1" w:lastColumn="0" w:noHBand="0" w:noVBand="1"/>
      </w:tblPr>
      <w:tblGrid>
        <w:gridCol w:w="1836"/>
        <w:gridCol w:w="7160"/>
      </w:tblGrid>
      <w:tr w:rsidR="00070A6E" w:rsidRPr="00AC3F57" w14:paraId="7D70F65E" w14:textId="77777777" w:rsidTr="007273C6">
        <w:tc>
          <w:tcPr>
            <w:tcW w:w="1838" w:type="dxa"/>
          </w:tcPr>
          <w:p w14:paraId="6E16CD6C" w14:textId="77777777" w:rsidR="00070A6E" w:rsidRPr="00AC3F57" w:rsidRDefault="00070A6E" w:rsidP="007273C6">
            <w:pPr>
              <w:rPr>
                <w:spacing w:val="0"/>
              </w:rPr>
            </w:pPr>
            <w:r w:rsidRPr="00AC3F57">
              <w:rPr>
                <w:spacing w:val="0"/>
              </w:rPr>
              <w:t>EYFS</w:t>
            </w:r>
          </w:p>
        </w:tc>
        <w:tc>
          <w:tcPr>
            <w:tcW w:w="7178" w:type="dxa"/>
          </w:tcPr>
          <w:p w14:paraId="7BD38A63" w14:textId="77777777" w:rsidR="00070A6E" w:rsidRPr="00AC3F57" w:rsidRDefault="00070A6E" w:rsidP="007273C6">
            <w:pPr>
              <w:rPr>
                <w:spacing w:val="0"/>
              </w:rPr>
            </w:pPr>
            <w:r w:rsidRPr="00AC3F57">
              <w:rPr>
                <w:spacing w:val="0"/>
              </w:rPr>
              <w:t>Ask simple, guided questions such as ‘Which one is the same?’ or ‘Why does this not belong here?’</w:t>
            </w:r>
            <w:r w:rsidRPr="00AC3F57">
              <w:rPr>
                <w:spacing w:val="0"/>
              </w:rPr>
              <w:br/>
              <w:t>Prompt children to explain their choices using short, supported sentences.</w:t>
            </w:r>
          </w:p>
        </w:tc>
      </w:tr>
      <w:tr w:rsidR="00070A6E" w:rsidRPr="00AC3F57" w14:paraId="39D67169" w14:textId="77777777" w:rsidTr="007273C6">
        <w:tc>
          <w:tcPr>
            <w:tcW w:w="1838" w:type="dxa"/>
          </w:tcPr>
          <w:p w14:paraId="71A85E78" w14:textId="77777777" w:rsidR="00070A6E" w:rsidRPr="00AC3F57" w:rsidRDefault="00070A6E" w:rsidP="007273C6">
            <w:pPr>
              <w:rPr>
                <w:spacing w:val="0"/>
              </w:rPr>
            </w:pPr>
            <w:r w:rsidRPr="00AC3F57">
              <w:rPr>
                <w:spacing w:val="0"/>
              </w:rPr>
              <w:t>Primary</w:t>
            </w:r>
          </w:p>
        </w:tc>
        <w:tc>
          <w:tcPr>
            <w:tcW w:w="7178" w:type="dxa"/>
          </w:tcPr>
          <w:p w14:paraId="633D1834" w14:textId="77777777" w:rsidR="00070A6E" w:rsidRPr="00AC3F57" w:rsidRDefault="00070A6E" w:rsidP="007273C6">
            <w:pPr>
              <w:rPr>
                <w:spacing w:val="0"/>
              </w:rPr>
            </w:pPr>
            <w:r w:rsidRPr="00AC3F57">
              <w:rPr>
                <w:spacing w:val="0"/>
              </w:rPr>
              <w:t>Plan questions that encourage pupils to reason, such as ‘How do you know?’ and ‘Can you think of another example?’</w:t>
            </w:r>
            <w:r w:rsidRPr="00AC3F57">
              <w:rPr>
                <w:spacing w:val="0"/>
              </w:rPr>
              <w:br/>
              <w:t>Use follow-up questions to push pupils to connect ideas across tasks.</w:t>
            </w:r>
          </w:p>
        </w:tc>
      </w:tr>
      <w:tr w:rsidR="00070A6E" w:rsidRPr="00AC3F57" w14:paraId="30369B4B" w14:textId="77777777" w:rsidTr="007273C6">
        <w:tc>
          <w:tcPr>
            <w:tcW w:w="1838" w:type="dxa"/>
          </w:tcPr>
          <w:p w14:paraId="72C99FE9" w14:textId="77777777" w:rsidR="00070A6E" w:rsidRPr="00AC3F57" w:rsidRDefault="00070A6E" w:rsidP="007273C6">
            <w:pPr>
              <w:rPr>
                <w:spacing w:val="0"/>
              </w:rPr>
            </w:pPr>
            <w:r w:rsidRPr="00AC3F57">
              <w:rPr>
                <w:spacing w:val="0"/>
              </w:rPr>
              <w:t>Secondary</w:t>
            </w:r>
          </w:p>
        </w:tc>
        <w:tc>
          <w:tcPr>
            <w:tcW w:w="7178" w:type="dxa"/>
          </w:tcPr>
          <w:p w14:paraId="3C089486" w14:textId="77777777" w:rsidR="00070A6E" w:rsidRPr="00AC3F57" w:rsidRDefault="00070A6E" w:rsidP="007273C6">
            <w:pPr>
              <w:rPr>
                <w:spacing w:val="0"/>
              </w:rPr>
            </w:pPr>
            <w:r w:rsidRPr="00AC3F57">
              <w:rPr>
                <w:spacing w:val="0"/>
              </w:rPr>
              <w:t>Sequence questions that require pupils to compare, justify, and apply concepts in new contexts.</w:t>
            </w:r>
            <w:r w:rsidRPr="00AC3F57">
              <w:rPr>
                <w:spacing w:val="0"/>
              </w:rPr>
              <w:br/>
              <w:t>Use prompts like ‘What makes this similar to yesterday’s example?’ to activate deep structure thinking.</w:t>
            </w:r>
          </w:p>
        </w:tc>
      </w:tr>
      <w:tr w:rsidR="00070A6E" w:rsidRPr="00AC3F57" w14:paraId="63EC8157" w14:textId="77777777" w:rsidTr="007273C6">
        <w:tc>
          <w:tcPr>
            <w:tcW w:w="1838" w:type="dxa"/>
          </w:tcPr>
          <w:p w14:paraId="39F05214" w14:textId="77777777" w:rsidR="00070A6E" w:rsidRPr="00AC3F57" w:rsidRDefault="00070A6E" w:rsidP="007273C6">
            <w:pPr>
              <w:rPr>
                <w:spacing w:val="0"/>
              </w:rPr>
            </w:pPr>
            <w:r w:rsidRPr="00AC3F57">
              <w:rPr>
                <w:spacing w:val="0"/>
              </w:rPr>
              <w:t>Specialist – SEND setting</w:t>
            </w:r>
          </w:p>
        </w:tc>
        <w:tc>
          <w:tcPr>
            <w:tcW w:w="7178" w:type="dxa"/>
          </w:tcPr>
          <w:p w14:paraId="5389AE31" w14:textId="77777777" w:rsidR="00070A6E" w:rsidRPr="00AC3F57" w:rsidRDefault="00070A6E" w:rsidP="007273C6">
            <w:pPr>
              <w:rPr>
                <w:spacing w:val="0"/>
              </w:rPr>
            </w:pPr>
            <w:r w:rsidRPr="00AC3F57">
              <w:rPr>
                <w:spacing w:val="0"/>
              </w:rPr>
              <w:t>Use short, direct questions supported by visual cues, such as ‘Show me another one that works.’</w:t>
            </w:r>
            <w:r w:rsidRPr="00AC3F57">
              <w:rPr>
                <w:spacing w:val="0"/>
              </w:rPr>
              <w:br/>
              <w:t>Provide sentence starters to help pupils articulate their reasoning.</w:t>
            </w:r>
          </w:p>
        </w:tc>
      </w:tr>
      <w:tr w:rsidR="00070A6E" w:rsidRPr="00AC3F57" w14:paraId="022ED75C" w14:textId="77777777" w:rsidTr="007273C6">
        <w:tc>
          <w:tcPr>
            <w:tcW w:w="1838" w:type="dxa"/>
          </w:tcPr>
          <w:p w14:paraId="032AC3E5" w14:textId="77777777" w:rsidR="00070A6E" w:rsidRPr="00AC3F57" w:rsidRDefault="00070A6E" w:rsidP="007273C6">
            <w:pPr>
              <w:rPr>
                <w:spacing w:val="0"/>
              </w:rPr>
            </w:pPr>
            <w:r w:rsidRPr="00AC3F57">
              <w:rPr>
                <w:spacing w:val="0"/>
              </w:rPr>
              <w:t>Specialist – Alternative Provision setting</w:t>
            </w:r>
          </w:p>
        </w:tc>
        <w:tc>
          <w:tcPr>
            <w:tcW w:w="7178" w:type="dxa"/>
          </w:tcPr>
          <w:p w14:paraId="1AA9E124" w14:textId="77777777" w:rsidR="00070A6E" w:rsidRPr="00AC3F57" w:rsidRDefault="00070A6E" w:rsidP="007273C6">
            <w:pPr>
              <w:rPr>
                <w:spacing w:val="0"/>
              </w:rPr>
            </w:pPr>
            <w:r w:rsidRPr="00AC3F57">
              <w:rPr>
                <w:spacing w:val="0"/>
              </w:rPr>
              <w:t>Use practical, context-based questions such as ‘Where would you use this in real life?’</w:t>
            </w:r>
            <w:r w:rsidRPr="00AC3F57">
              <w:rPr>
                <w:spacing w:val="0"/>
              </w:rPr>
              <w:br/>
              <w:t>Encourage pupils to explain their thinking step by step, reinforcing confidence and clarity.</w:t>
            </w:r>
          </w:p>
        </w:tc>
      </w:tr>
    </w:tbl>
    <w:p w14:paraId="5A088E28" w14:textId="77777777" w:rsidR="00070A6E" w:rsidRPr="00AC3F57" w:rsidRDefault="00070A6E" w:rsidP="00070A6E">
      <w:pPr>
        <w:rPr>
          <w:lang w:val="en-US"/>
        </w:rPr>
      </w:pPr>
    </w:p>
    <w:p w14:paraId="1542750B" w14:textId="77777777" w:rsidR="00070A6E" w:rsidRPr="00AC3F57" w:rsidRDefault="00070A6E" w:rsidP="00070A6E">
      <w:pPr>
        <w:pStyle w:val="ListParagraph"/>
        <w:numPr>
          <w:ilvl w:val="0"/>
          <w:numId w:val="57"/>
        </w:numPr>
        <w:rPr>
          <w:lang w:val="en-US"/>
        </w:rPr>
      </w:pPr>
      <w:r w:rsidRPr="00AC3F57">
        <w:t>Build strong factual knowledge by planning opportunities for pupils to revisit key concepts at increasing levels of difficulty.</w:t>
      </w:r>
    </w:p>
    <w:tbl>
      <w:tblPr>
        <w:tblStyle w:val="TableGrid1"/>
        <w:tblW w:w="0" w:type="auto"/>
        <w:tblLook w:val="04A0" w:firstRow="1" w:lastRow="0" w:firstColumn="1" w:lastColumn="0" w:noHBand="0" w:noVBand="1"/>
      </w:tblPr>
      <w:tblGrid>
        <w:gridCol w:w="1836"/>
        <w:gridCol w:w="7160"/>
      </w:tblGrid>
      <w:tr w:rsidR="00070A6E" w:rsidRPr="00AC3F57" w14:paraId="76F979EF" w14:textId="77777777" w:rsidTr="007273C6">
        <w:tc>
          <w:tcPr>
            <w:tcW w:w="1838" w:type="dxa"/>
          </w:tcPr>
          <w:p w14:paraId="3190EFAE" w14:textId="77777777" w:rsidR="00070A6E" w:rsidRPr="00AC3F57" w:rsidRDefault="00070A6E" w:rsidP="007273C6">
            <w:pPr>
              <w:rPr>
                <w:spacing w:val="0"/>
              </w:rPr>
            </w:pPr>
            <w:r w:rsidRPr="00AC3F57">
              <w:rPr>
                <w:spacing w:val="0"/>
              </w:rPr>
              <w:t>EYFS</w:t>
            </w:r>
          </w:p>
        </w:tc>
        <w:tc>
          <w:tcPr>
            <w:tcW w:w="7178" w:type="dxa"/>
          </w:tcPr>
          <w:p w14:paraId="2047A108" w14:textId="77777777" w:rsidR="00070A6E" w:rsidRPr="00AC3F57" w:rsidRDefault="00070A6E" w:rsidP="007273C6">
            <w:pPr>
              <w:rPr>
                <w:spacing w:val="0"/>
              </w:rPr>
            </w:pPr>
            <w:r w:rsidRPr="00AC3F57">
              <w:rPr>
                <w:spacing w:val="0"/>
              </w:rPr>
              <w:t>Revisit core ideas (e.g., number, shape) through repeated play-based activities that gradually add small challenges.</w:t>
            </w:r>
            <w:r w:rsidRPr="00AC3F57">
              <w:rPr>
                <w:spacing w:val="0"/>
              </w:rPr>
              <w:br/>
              <w:t>Use familiar routines to strengthen recall, such as daily counting or shape hunts.</w:t>
            </w:r>
          </w:p>
        </w:tc>
      </w:tr>
      <w:tr w:rsidR="00070A6E" w:rsidRPr="00AC3F57" w14:paraId="6133E96A" w14:textId="77777777" w:rsidTr="007273C6">
        <w:tc>
          <w:tcPr>
            <w:tcW w:w="1838" w:type="dxa"/>
          </w:tcPr>
          <w:p w14:paraId="5BC7B158" w14:textId="77777777" w:rsidR="00070A6E" w:rsidRPr="00AC3F57" w:rsidRDefault="00070A6E" w:rsidP="007273C6">
            <w:pPr>
              <w:rPr>
                <w:spacing w:val="0"/>
              </w:rPr>
            </w:pPr>
            <w:r w:rsidRPr="00AC3F57">
              <w:rPr>
                <w:spacing w:val="0"/>
              </w:rPr>
              <w:t>Primary</w:t>
            </w:r>
          </w:p>
        </w:tc>
        <w:tc>
          <w:tcPr>
            <w:tcW w:w="7178" w:type="dxa"/>
          </w:tcPr>
          <w:p w14:paraId="16EB6FFD" w14:textId="77777777" w:rsidR="00070A6E" w:rsidRPr="00AC3F57" w:rsidRDefault="00070A6E" w:rsidP="007273C6">
            <w:pPr>
              <w:rPr>
                <w:spacing w:val="0"/>
              </w:rPr>
            </w:pPr>
            <w:r w:rsidRPr="00AC3F57">
              <w:rPr>
                <w:spacing w:val="0"/>
              </w:rPr>
              <w:t>Plan spaced reviews of key content, increasing complexity each time—for example, moving from identifying fractions to comparing and applying them.</w:t>
            </w:r>
            <w:r w:rsidRPr="00AC3F57">
              <w:rPr>
                <w:spacing w:val="0"/>
              </w:rPr>
              <w:br/>
              <w:t>Include quick retrieval tasks to reinforce foundational knowledge.</w:t>
            </w:r>
          </w:p>
        </w:tc>
      </w:tr>
      <w:tr w:rsidR="00070A6E" w:rsidRPr="00AC3F57" w14:paraId="62DE22AD" w14:textId="77777777" w:rsidTr="007273C6">
        <w:tc>
          <w:tcPr>
            <w:tcW w:w="1838" w:type="dxa"/>
          </w:tcPr>
          <w:p w14:paraId="1F8E83AB" w14:textId="77777777" w:rsidR="00070A6E" w:rsidRPr="00AC3F57" w:rsidRDefault="00070A6E" w:rsidP="007273C6">
            <w:pPr>
              <w:rPr>
                <w:spacing w:val="0"/>
              </w:rPr>
            </w:pPr>
            <w:r w:rsidRPr="00AC3F57">
              <w:rPr>
                <w:spacing w:val="0"/>
              </w:rPr>
              <w:lastRenderedPageBreak/>
              <w:t>Secondary</w:t>
            </w:r>
          </w:p>
        </w:tc>
        <w:tc>
          <w:tcPr>
            <w:tcW w:w="7178" w:type="dxa"/>
          </w:tcPr>
          <w:p w14:paraId="395DE9C6" w14:textId="77777777" w:rsidR="00070A6E" w:rsidRPr="00AC3F57" w:rsidRDefault="00070A6E" w:rsidP="007273C6">
            <w:pPr>
              <w:rPr>
                <w:spacing w:val="0"/>
              </w:rPr>
            </w:pPr>
            <w:r w:rsidRPr="00AC3F57">
              <w:rPr>
                <w:spacing w:val="0"/>
              </w:rPr>
              <w:t>Design retrieval practice that revisits essential knowledge before moving into more demanding applications.</w:t>
            </w:r>
            <w:r w:rsidRPr="00AC3F57">
              <w:rPr>
                <w:spacing w:val="0"/>
              </w:rPr>
              <w:br/>
              <w:t>Increase challenge over time by requiring pupils to apply facts to unfamiliar problems.</w:t>
            </w:r>
          </w:p>
        </w:tc>
      </w:tr>
      <w:tr w:rsidR="00070A6E" w:rsidRPr="00AC3F57" w14:paraId="6E1B239F" w14:textId="77777777" w:rsidTr="007273C6">
        <w:tc>
          <w:tcPr>
            <w:tcW w:w="1838" w:type="dxa"/>
          </w:tcPr>
          <w:p w14:paraId="7EE52734" w14:textId="77777777" w:rsidR="00070A6E" w:rsidRPr="00AC3F57" w:rsidRDefault="00070A6E" w:rsidP="007273C6">
            <w:pPr>
              <w:rPr>
                <w:spacing w:val="0"/>
              </w:rPr>
            </w:pPr>
            <w:r w:rsidRPr="00AC3F57">
              <w:rPr>
                <w:spacing w:val="0"/>
              </w:rPr>
              <w:t>Specialist – SEND setting</w:t>
            </w:r>
          </w:p>
        </w:tc>
        <w:tc>
          <w:tcPr>
            <w:tcW w:w="7178" w:type="dxa"/>
          </w:tcPr>
          <w:p w14:paraId="381DE65C" w14:textId="77777777" w:rsidR="00070A6E" w:rsidRPr="00AC3F57" w:rsidRDefault="00070A6E" w:rsidP="007273C6">
            <w:pPr>
              <w:rPr>
                <w:spacing w:val="0"/>
              </w:rPr>
            </w:pPr>
            <w:r w:rsidRPr="00AC3F57">
              <w:rPr>
                <w:spacing w:val="0"/>
              </w:rPr>
              <w:t>Use short, frequent review sessions that return to essential facts with incremental complexity.</w:t>
            </w:r>
            <w:r w:rsidRPr="00AC3F57">
              <w:rPr>
                <w:spacing w:val="0"/>
              </w:rPr>
              <w:br/>
              <w:t>Provide structured prompts and visuals to support memory and reduce cognitive load.</w:t>
            </w:r>
          </w:p>
        </w:tc>
      </w:tr>
      <w:tr w:rsidR="00070A6E" w:rsidRPr="00AC3F57" w14:paraId="21298502" w14:textId="77777777" w:rsidTr="007273C6">
        <w:tc>
          <w:tcPr>
            <w:tcW w:w="1838" w:type="dxa"/>
          </w:tcPr>
          <w:p w14:paraId="2232808D" w14:textId="77777777" w:rsidR="00070A6E" w:rsidRPr="00AC3F57" w:rsidRDefault="00070A6E" w:rsidP="007273C6">
            <w:pPr>
              <w:rPr>
                <w:spacing w:val="0"/>
              </w:rPr>
            </w:pPr>
            <w:r w:rsidRPr="00AC3F57">
              <w:rPr>
                <w:spacing w:val="0"/>
              </w:rPr>
              <w:t>Specialist – Alternative Provision setting</w:t>
            </w:r>
          </w:p>
        </w:tc>
        <w:tc>
          <w:tcPr>
            <w:tcW w:w="7178" w:type="dxa"/>
          </w:tcPr>
          <w:p w14:paraId="067A6962" w14:textId="77777777" w:rsidR="00070A6E" w:rsidRPr="00AC3F57" w:rsidRDefault="00070A6E" w:rsidP="007273C6">
            <w:pPr>
              <w:rPr>
                <w:spacing w:val="0"/>
              </w:rPr>
            </w:pPr>
            <w:r w:rsidRPr="00AC3F57">
              <w:rPr>
                <w:spacing w:val="0"/>
              </w:rPr>
              <w:t>Revisit key concepts through practical tasks that gradually increase challenge, linking knowledge to real-life contexts.</w:t>
            </w:r>
            <w:r w:rsidRPr="00AC3F57">
              <w:rPr>
                <w:spacing w:val="0"/>
              </w:rPr>
              <w:br/>
              <w:t>Use personalised check-ins to reinforce recall and track small steps of progress.</w:t>
            </w:r>
          </w:p>
        </w:tc>
      </w:tr>
    </w:tbl>
    <w:p w14:paraId="50E05E3D" w14:textId="77777777" w:rsidR="00070A6E" w:rsidRPr="00AC3F57" w:rsidRDefault="00070A6E" w:rsidP="00070A6E">
      <w:pPr>
        <w:rPr>
          <w:lang w:val="en-US"/>
        </w:rPr>
      </w:pPr>
    </w:p>
    <w:p w14:paraId="4A8C330F" w14:textId="77777777" w:rsidR="00070A6E" w:rsidRPr="00AC3F57" w:rsidRDefault="00070A6E" w:rsidP="00070A6E">
      <w:pPr>
        <w:pStyle w:val="Subheading"/>
      </w:pPr>
      <w:bookmarkStart w:id="23" w:name="R2actionsteps"/>
      <w:r w:rsidRPr="00AC3F57">
        <w:t>Reading 2 - Possible action steps</w:t>
      </w:r>
    </w:p>
    <w:bookmarkEnd w:id="23"/>
    <w:p w14:paraId="7F8FABAC" w14:textId="77777777" w:rsidR="00070A6E" w:rsidRPr="00AC3F57" w:rsidRDefault="00070A6E" w:rsidP="00070A6E">
      <w:pPr>
        <w:rPr>
          <w:b/>
        </w:rPr>
      </w:pPr>
      <w:r w:rsidRPr="00AC3F57">
        <w:t xml:space="preserve">Consider one of the following which draw on the work of </w:t>
      </w:r>
      <w:r w:rsidRPr="00AC3F57">
        <w:rPr>
          <w:rStyle w:val="normaltextrun"/>
        </w:rPr>
        <w:t>Rich et al.</w:t>
      </w:r>
      <w:r w:rsidRPr="00AC3F57">
        <w:rPr>
          <w:rStyle w:val="eop"/>
        </w:rPr>
        <w:t> (2017)</w:t>
      </w:r>
    </w:p>
    <w:p w14:paraId="45B9F4E6" w14:textId="77777777" w:rsidR="00070A6E" w:rsidRPr="00AC3F57" w:rsidRDefault="00070A6E" w:rsidP="00070A6E">
      <w:pPr>
        <w:pStyle w:val="NormalWeb"/>
        <w:numPr>
          <w:ilvl w:val="0"/>
          <w:numId w:val="58"/>
        </w:numPr>
        <w:rPr>
          <w:rFonts w:ascii="Tahoma" w:hAnsi="Tahoma" w:cs="Tahoma"/>
        </w:rPr>
      </w:pPr>
      <w:r w:rsidRPr="00AC3F57">
        <w:rPr>
          <w:rFonts w:ascii="Tahoma" w:hAnsi="Tahoma" w:cs="Tahoma"/>
        </w:rPr>
        <w:t>Develop your subject and pedagogical content knowledge to help you better anticipate and address misconceptions.</w:t>
      </w:r>
    </w:p>
    <w:tbl>
      <w:tblPr>
        <w:tblStyle w:val="TableGrid1"/>
        <w:tblW w:w="0" w:type="auto"/>
        <w:tblLook w:val="04A0" w:firstRow="1" w:lastRow="0" w:firstColumn="1" w:lastColumn="0" w:noHBand="0" w:noVBand="1"/>
      </w:tblPr>
      <w:tblGrid>
        <w:gridCol w:w="1836"/>
        <w:gridCol w:w="7160"/>
      </w:tblGrid>
      <w:tr w:rsidR="00070A6E" w:rsidRPr="00AC3F57" w14:paraId="7860A4FA" w14:textId="77777777" w:rsidTr="007273C6">
        <w:tc>
          <w:tcPr>
            <w:tcW w:w="1838" w:type="dxa"/>
          </w:tcPr>
          <w:p w14:paraId="09F4E882" w14:textId="77777777" w:rsidR="00070A6E" w:rsidRPr="00AC3F57" w:rsidRDefault="00070A6E" w:rsidP="007273C6">
            <w:pPr>
              <w:rPr>
                <w:spacing w:val="0"/>
              </w:rPr>
            </w:pPr>
            <w:r w:rsidRPr="00AC3F57">
              <w:rPr>
                <w:spacing w:val="0"/>
              </w:rPr>
              <w:t>EYFS</w:t>
            </w:r>
          </w:p>
        </w:tc>
        <w:tc>
          <w:tcPr>
            <w:tcW w:w="7178" w:type="dxa"/>
          </w:tcPr>
          <w:p w14:paraId="13888B9C" w14:textId="77777777" w:rsidR="00070A6E" w:rsidRPr="00AC3F57" w:rsidRDefault="00070A6E" w:rsidP="007273C6">
            <w:pPr>
              <w:rPr>
                <w:spacing w:val="0"/>
              </w:rPr>
            </w:pPr>
            <w:r w:rsidRPr="00AC3F57">
              <w:rPr>
                <w:spacing w:val="0"/>
              </w:rPr>
              <w:t>Secure your understanding of early developmental progressions so you can anticipate misconceptions, such as confusing size with quantity.</w:t>
            </w:r>
            <w:r w:rsidRPr="00AC3F57">
              <w:rPr>
                <w:spacing w:val="0"/>
              </w:rPr>
              <w:br/>
              <w:t>Use this knowledge to plan activities that reveal how children typically think at this stage.</w:t>
            </w:r>
          </w:p>
        </w:tc>
      </w:tr>
      <w:tr w:rsidR="00070A6E" w:rsidRPr="00AC3F57" w14:paraId="444A5B9A" w14:textId="77777777" w:rsidTr="007273C6">
        <w:tc>
          <w:tcPr>
            <w:tcW w:w="1838" w:type="dxa"/>
          </w:tcPr>
          <w:p w14:paraId="2EA60BB3" w14:textId="77777777" w:rsidR="00070A6E" w:rsidRPr="00AC3F57" w:rsidRDefault="00070A6E" w:rsidP="007273C6">
            <w:pPr>
              <w:rPr>
                <w:spacing w:val="0"/>
              </w:rPr>
            </w:pPr>
            <w:r w:rsidRPr="00AC3F57">
              <w:rPr>
                <w:spacing w:val="0"/>
              </w:rPr>
              <w:t>Primary</w:t>
            </w:r>
          </w:p>
        </w:tc>
        <w:tc>
          <w:tcPr>
            <w:tcW w:w="7178" w:type="dxa"/>
          </w:tcPr>
          <w:p w14:paraId="331B95B0" w14:textId="77777777" w:rsidR="00070A6E" w:rsidRPr="00AC3F57" w:rsidRDefault="00070A6E" w:rsidP="007273C6">
            <w:pPr>
              <w:rPr>
                <w:spacing w:val="0"/>
              </w:rPr>
            </w:pPr>
            <w:r w:rsidRPr="00AC3F57">
              <w:rPr>
                <w:spacing w:val="0"/>
              </w:rPr>
              <w:t>Strengthen your grasp of key concepts (e.g., place value, grammar rules) and common misconceptions linked to them.</w:t>
            </w:r>
            <w:r w:rsidRPr="00AC3F57">
              <w:rPr>
                <w:spacing w:val="0"/>
              </w:rPr>
              <w:br/>
              <w:t>Use this knowledge to pre-empt errors and prepare clear explanations.</w:t>
            </w:r>
          </w:p>
        </w:tc>
      </w:tr>
      <w:tr w:rsidR="00070A6E" w:rsidRPr="00AC3F57" w14:paraId="0CD8EBB9" w14:textId="77777777" w:rsidTr="007273C6">
        <w:tc>
          <w:tcPr>
            <w:tcW w:w="1838" w:type="dxa"/>
          </w:tcPr>
          <w:p w14:paraId="73A8F48A" w14:textId="77777777" w:rsidR="00070A6E" w:rsidRPr="00AC3F57" w:rsidRDefault="00070A6E" w:rsidP="007273C6">
            <w:pPr>
              <w:rPr>
                <w:spacing w:val="0"/>
              </w:rPr>
            </w:pPr>
            <w:r w:rsidRPr="00AC3F57">
              <w:rPr>
                <w:spacing w:val="0"/>
              </w:rPr>
              <w:t>Secondary</w:t>
            </w:r>
          </w:p>
        </w:tc>
        <w:tc>
          <w:tcPr>
            <w:tcW w:w="7178" w:type="dxa"/>
          </w:tcPr>
          <w:p w14:paraId="33BA4AEB" w14:textId="77777777" w:rsidR="00070A6E" w:rsidRPr="00AC3F57" w:rsidRDefault="00070A6E" w:rsidP="007273C6">
            <w:pPr>
              <w:rPr>
                <w:spacing w:val="0"/>
              </w:rPr>
            </w:pPr>
            <w:r w:rsidRPr="00AC3F57">
              <w:rPr>
                <w:spacing w:val="0"/>
              </w:rPr>
              <w:t>Deepen your understanding of the subject’s core ideas and where pupils commonly go wrong, such as confusing correlation with causation in science or misinterpreting source reliability in history.</w:t>
            </w:r>
            <w:r w:rsidRPr="00AC3F57">
              <w:rPr>
                <w:spacing w:val="0"/>
              </w:rPr>
              <w:br/>
              <w:t>Use this insight to structure teaching that proactively addresses likely misconceptions.</w:t>
            </w:r>
          </w:p>
        </w:tc>
      </w:tr>
      <w:tr w:rsidR="00070A6E" w:rsidRPr="00AC3F57" w14:paraId="481ED774" w14:textId="77777777" w:rsidTr="007273C6">
        <w:tc>
          <w:tcPr>
            <w:tcW w:w="1838" w:type="dxa"/>
          </w:tcPr>
          <w:p w14:paraId="78D7BD38" w14:textId="77777777" w:rsidR="00070A6E" w:rsidRPr="00AC3F57" w:rsidRDefault="00070A6E" w:rsidP="007273C6">
            <w:pPr>
              <w:rPr>
                <w:spacing w:val="0"/>
              </w:rPr>
            </w:pPr>
            <w:r w:rsidRPr="00AC3F57">
              <w:rPr>
                <w:spacing w:val="0"/>
              </w:rPr>
              <w:lastRenderedPageBreak/>
              <w:t>Specialist – SEND setting</w:t>
            </w:r>
          </w:p>
        </w:tc>
        <w:tc>
          <w:tcPr>
            <w:tcW w:w="7178" w:type="dxa"/>
          </w:tcPr>
          <w:p w14:paraId="07830336" w14:textId="77777777" w:rsidR="00070A6E" w:rsidRPr="00AC3F57" w:rsidRDefault="00070A6E" w:rsidP="007273C6">
            <w:pPr>
              <w:rPr>
                <w:spacing w:val="0"/>
              </w:rPr>
            </w:pPr>
            <w:r w:rsidRPr="00AC3F57">
              <w:rPr>
                <w:spacing w:val="0"/>
              </w:rPr>
              <w:t>Develop strong understanding of the key concepts and the specific misconceptions your learners commonly show.</w:t>
            </w:r>
            <w:r w:rsidRPr="00AC3F57">
              <w:rPr>
                <w:spacing w:val="0"/>
              </w:rPr>
              <w:br/>
              <w:t>Use this knowledge to tailor explanations and scaffolded tasks that meet pupils’ needs.</w:t>
            </w:r>
          </w:p>
        </w:tc>
      </w:tr>
      <w:tr w:rsidR="00070A6E" w:rsidRPr="00AC3F57" w14:paraId="04DDE948" w14:textId="77777777" w:rsidTr="007273C6">
        <w:tc>
          <w:tcPr>
            <w:tcW w:w="1838" w:type="dxa"/>
          </w:tcPr>
          <w:p w14:paraId="623C56C1" w14:textId="77777777" w:rsidR="00070A6E" w:rsidRPr="00AC3F57" w:rsidRDefault="00070A6E" w:rsidP="007273C6">
            <w:pPr>
              <w:rPr>
                <w:spacing w:val="0"/>
              </w:rPr>
            </w:pPr>
            <w:r w:rsidRPr="00AC3F57">
              <w:rPr>
                <w:spacing w:val="0"/>
              </w:rPr>
              <w:t>Specialist – Alternative Provision setting</w:t>
            </w:r>
          </w:p>
        </w:tc>
        <w:tc>
          <w:tcPr>
            <w:tcW w:w="7178" w:type="dxa"/>
          </w:tcPr>
          <w:p w14:paraId="3FD90D3E" w14:textId="77777777" w:rsidR="00070A6E" w:rsidRPr="00AC3F57" w:rsidRDefault="00070A6E" w:rsidP="007273C6">
            <w:pPr>
              <w:rPr>
                <w:spacing w:val="0"/>
              </w:rPr>
            </w:pPr>
            <w:r w:rsidRPr="00AC3F57">
              <w:rPr>
                <w:spacing w:val="0"/>
              </w:rPr>
              <w:t>Strengthen knowledge of the fundamental concepts pupils often struggle with due to gaps in prior learning.</w:t>
            </w:r>
            <w:r w:rsidRPr="00AC3F57">
              <w:rPr>
                <w:spacing w:val="0"/>
              </w:rPr>
              <w:br/>
              <w:t>Use this understanding to build targeted learning sequences that directly address these gaps.</w:t>
            </w:r>
          </w:p>
        </w:tc>
      </w:tr>
    </w:tbl>
    <w:p w14:paraId="504B15E5" w14:textId="77777777" w:rsidR="00070A6E" w:rsidRPr="00AC3F57" w:rsidRDefault="00070A6E" w:rsidP="00070A6E"/>
    <w:p w14:paraId="6B93C882" w14:textId="77777777" w:rsidR="00070A6E" w:rsidRPr="00AC3F57" w:rsidRDefault="00070A6E" w:rsidP="00070A6E">
      <w:pPr>
        <w:pStyle w:val="ListParagraph"/>
        <w:numPr>
          <w:ilvl w:val="0"/>
          <w:numId w:val="58"/>
        </w:numPr>
      </w:pPr>
      <w:r w:rsidRPr="00AC3F57">
        <w:t>Use your subject and pedagogical content knowledge to plan formative assessment strategies in your lessons to help identify common misconceptions as they arise.</w:t>
      </w:r>
    </w:p>
    <w:tbl>
      <w:tblPr>
        <w:tblStyle w:val="TableGrid1"/>
        <w:tblW w:w="0" w:type="auto"/>
        <w:tblLook w:val="04A0" w:firstRow="1" w:lastRow="0" w:firstColumn="1" w:lastColumn="0" w:noHBand="0" w:noVBand="1"/>
      </w:tblPr>
      <w:tblGrid>
        <w:gridCol w:w="1836"/>
        <w:gridCol w:w="7160"/>
      </w:tblGrid>
      <w:tr w:rsidR="00070A6E" w:rsidRPr="00AC3F57" w14:paraId="570E9E19" w14:textId="77777777" w:rsidTr="007273C6">
        <w:tc>
          <w:tcPr>
            <w:tcW w:w="1836" w:type="dxa"/>
          </w:tcPr>
          <w:p w14:paraId="1F8006A9" w14:textId="77777777" w:rsidR="00070A6E" w:rsidRPr="00AC3F57" w:rsidRDefault="00070A6E" w:rsidP="007273C6">
            <w:pPr>
              <w:rPr>
                <w:spacing w:val="0"/>
              </w:rPr>
            </w:pPr>
            <w:r w:rsidRPr="00AC3F57">
              <w:rPr>
                <w:spacing w:val="0"/>
              </w:rPr>
              <w:t>EYFS</w:t>
            </w:r>
          </w:p>
        </w:tc>
        <w:tc>
          <w:tcPr>
            <w:tcW w:w="7160" w:type="dxa"/>
          </w:tcPr>
          <w:p w14:paraId="0D8C365F" w14:textId="77777777" w:rsidR="00070A6E" w:rsidRPr="00AC3F57" w:rsidRDefault="00070A6E" w:rsidP="007273C6">
            <w:pPr>
              <w:rPr>
                <w:spacing w:val="0"/>
              </w:rPr>
            </w:pPr>
            <w:r w:rsidRPr="00AC3F57">
              <w:rPr>
                <w:spacing w:val="0"/>
              </w:rPr>
              <w:t>Plan simple observational checks, such as asking children to sort objects, to see whether they understand categories or quantities.</w:t>
            </w:r>
            <w:r w:rsidRPr="00AC3F57">
              <w:rPr>
                <w:spacing w:val="0"/>
              </w:rPr>
              <w:br/>
              <w:t>Use quick prompts to reveal emerging misunderstandings.</w:t>
            </w:r>
          </w:p>
        </w:tc>
      </w:tr>
      <w:tr w:rsidR="00070A6E" w:rsidRPr="00AC3F57" w14:paraId="11020524" w14:textId="77777777" w:rsidTr="007273C6">
        <w:tc>
          <w:tcPr>
            <w:tcW w:w="1836" w:type="dxa"/>
          </w:tcPr>
          <w:p w14:paraId="66D3F8C6" w14:textId="77777777" w:rsidR="00070A6E" w:rsidRPr="00AC3F57" w:rsidRDefault="00070A6E" w:rsidP="007273C6">
            <w:pPr>
              <w:rPr>
                <w:spacing w:val="0"/>
              </w:rPr>
            </w:pPr>
            <w:r w:rsidRPr="00AC3F57">
              <w:rPr>
                <w:spacing w:val="0"/>
              </w:rPr>
              <w:t>Primary</w:t>
            </w:r>
          </w:p>
        </w:tc>
        <w:tc>
          <w:tcPr>
            <w:tcW w:w="7160" w:type="dxa"/>
          </w:tcPr>
          <w:p w14:paraId="6CFBC002" w14:textId="77777777" w:rsidR="00070A6E" w:rsidRPr="00AC3F57" w:rsidRDefault="00070A6E" w:rsidP="007273C6">
            <w:pPr>
              <w:rPr>
                <w:spacing w:val="0"/>
              </w:rPr>
            </w:pPr>
            <w:r w:rsidRPr="00AC3F57">
              <w:rPr>
                <w:spacing w:val="0"/>
              </w:rPr>
              <w:t>Design hinge questions or mini-tasks that reveal whether pupils grasp key ideas, such as identifying misconceptions in maths methods or grammar choices.</w:t>
            </w:r>
            <w:r w:rsidRPr="00AC3F57">
              <w:rPr>
                <w:spacing w:val="0"/>
              </w:rPr>
              <w:br/>
              <w:t>Use immediate responses to adjust teaching.</w:t>
            </w:r>
          </w:p>
        </w:tc>
      </w:tr>
      <w:tr w:rsidR="00070A6E" w:rsidRPr="00AC3F57" w14:paraId="2CC1410E" w14:textId="77777777" w:rsidTr="007273C6">
        <w:tc>
          <w:tcPr>
            <w:tcW w:w="1836" w:type="dxa"/>
          </w:tcPr>
          <w:p w14:paraId="158BE5A9" w14:textId="77777777" w:rsidR="00070A6E" w:rsidRPr="00AC3F57" w:rsidRDefault="00070A6E" w:rsidP="007273C6">
            <w:pPr>
              <w:rPr>
                <w:spacing w:val="0"/>
              </w:rPr>
            </w:pPr>
            <w:r w:rsidRPr="00AC3F57">
              <w:rPr>
                <w:spacing w:val="0"/>
              </w:rPr>
              <w:t>Secondary</w:t>
            </w:r>
          </w:p>
        </w:tc>
        <w:tc>
          <w:tcPr>
            <w:tcW w:w="7160" w:type="dxa"/>
          </w:tcPr>
          <w:p w14:paraId="32F644FC" w14:textId="77777777" w:rsidR="00070A6E" w:rsidRPr="00AC3F57" w:rsidRDefault="00070A6E" w:rsidP="007273C6">
            <w:pPr>
              <w:rPr>
                <w:spacing w:val="0"/>
              </w:rPr>
            </w:pPr>
            <w:r w:rsidRPr="00AC3F57">
              <w:rPr>
                <w:spacing w:val="0"/>
              </w:rPr>
              <w:t>Integrate low-stakes quizzes, diagnostic questions, or short analytical tasks that expose common misconceptions.</w:t>
            </w:r>
            <w:r w:rsidRPr="00AC3F57">
              <w:rPr>
                <w:spacing w:val="0"/>
              </w:rPr>
              <w:br/>
              <w:t>Use pupils’ answers to refine explanations and reteach concepts where needed.</w:t>
            </w:r>
          </w:p>
        </w:tc>
      </w:tr>
      <w:tr w:rsidR="00070A6E" w:rsidRPr="00AC3F57" w14:paraId="2725DE55" w14:textId="77777777" w:rsidTr="007273C6">
        <w:tc>
          <w:tcPr>
            <w:tcW w:w="1836" w:type="dxa"/>
          </w:tcPr>
          <w:p w14:paraId="0CE970D5" w14:textId="77777777" w:rsidR="00070A6E" w:rsidRPr="00AC3F57" w:rsidRDefault="00070A6E" w:rsidP="007273C6">
            <w:pPr>
              <w:rPr>
                <w:spacing w:val="0"/>
              </w:rPr>
            </w:pPr>
            <w:r w:rsidRPr="00AC3F57">
              <w:rPr>
                <w:spacing w:val="0"/>
              </w:rPr>
              <w:t>Specialist – SEND setting</w:t>
            </w:r>
          </w:p>
        </w:tc>
        <w:tc>
          <w:tcPr>
            <w:tcW w:w="7160" w:type="dxa"/>
          </w:tcPr>
          <w:p w14:paraId="729A5E70" w14:textId="77777777" w:rsidR="00070A6E" w:rsidRPr="00AC3F57" w:rsidRDefault="00070A6E" w:rsidP="007273C6">
            <w:pPr>
              <w:rPr>
                <w:spacing w:val="0"/>
              </w:rPr>
            </w:pPr>
            <w:r w:rsidRPr="00AC3F57">
              <w:rPr>
                <w:spacing w:val="0"/>
              </w:rPr>
              <w:t>Plan highly structured checks, such as matching tasks or guided oral questions, to uncover misunderstandings in small steps.</w:t>
            </w:r>
            <w:r w:rsidRPr="00AC3F57">
              <w:rPr>
                <w:spacing w:val="0"/>
              </w:rPr>
              <w:br/>
              <w:t>Respond with targeted support based on what pupils show.</w:t>
            </w:r>
          </w:p>
        </w:tc>
      </w:tr>
      <w:tr w:rsidR="00070A6E" w:rsidRPr="00AC3F57" w14:paraId="56249D2C" w14:textId="77777777" w:rsidTr="007273C6">
        <w:tc>
          <w:tcPr>
            <w:tcW w:w="1836" w:type="dxa"/>
          </w:tcPr>
          <w:p w14:paraId="72CF2F3A" w14:textId="77777777" w:rsidR="00070A6E" w:rsidRPr="00AC3F57" w:rsidRDefault="00070A6E" w:rsidP="007273C6">
            <w:pPr>
              <w:rPr>
                <w:spacing w:val="0"/>
              </w:rPr>
            </w:pPr>
            <w:r w:rsidRPr="00AC3F57">
              <w:rPr>
                <w:spacing w:val="0"/>
              </w:rPr>
              <w:t>Specialist – Alternative Provision setting</w:t>
            </w:r>
          </w:p>
        </w:tc>
        <w:tc>
          <w:tcPr>
            <w:tcW w:w="7160" w:type="dxa"/>
          </w:tcPr>
          <w:p w14:paraId="1153C7CC" w14:textId="77777777" w:rsidR="00070A6E" w:rsidRPr="00AC3F57" w:rsidRDefault="00070A6E" w:rsidP="007273C6">
            <w:pPr>
              <w:rPr>
                <w:spacing w:val="0"/>
              </w:rPr>
            </w:pPr>
            <w:r w:rsidRPr="00AC3F57">
              <w:rPr>
                <w:spacing w:val="0"/>
              </w:rPr>
              <w:t>Use short, practical, context-based checks—such as applying a concept to a real-life scenario—to reveal gaps in understanding.</w:t>
            </w:r>
            <w:r w:rsidRPr="00AC3F57">
              <w:rPr>
                <w:spacing w:val="0"/>
              </w:rPr>
              <w:br/>
              <w:t>Adapt teaching on the spot in response to what pupils demonstrate.</w:t>
            </w:r>
          </w:p>
        </w:tc>
      </w:tr>
    </w:tbl>
    <w:p w14:paraId="55AE8670" w14:textId="77777777" w:rsidR="00070A6E" w:rsidRPr="00AC3F57" w:rsidRDefault="00070A6E" w:rsidP="00070A6E">
      <w:pPr>
        <w:pStyle w:val="ListParagraph"/>
        <w:numPr>
          <w:ilvl w:val="0"/>
          <w:numId w:val="58"/>
        </w:numPr>
      </w:pPr>
      <w:r w:rsidRPr="00AC3F57">
        <w:t>Script an explanation for a common misconception you have identified as being likely to occur.</w:t>
      </w:r>
    </w:p>
    <w:tbl>
      <w:tblPr>
        <w:tblStyle w:val="TableGrid1"/>
        <w:tblW w:w="0" w:type="auto"/>
        <w:tblLook w:val="04A0" w:firstRow="1" w:lastRow="0" w:firstColumn="1" w:lastColumn="0" w:noHBand="0" w:noVBand="1"/>
      </w:tblPr>
      <w:tblGrid>
        <w:gridCol w:w="1836"/>
        <w:gridCol w:w="7160"/>
      </w:tblGrid>
      <w:tr w:rsidR="00070A6E" w:rsidRPr="00AC3F57" w14:paraId="71A80926" w14:textId="77777777" w:rsidTr="007273C6">
        <w:tc>
          <w:tcPr>
            <w:tcW w:w="1838" w:type="dxa"/>
          </w:tcPr>
          <w:p w14:paraId="23684E48" w14:textId="77777777" w:rsidR="00070A6E" w:rsidRPr="00AC3F57" w:rsidRDefault="00070A6E" w:rsidP="007273C6">
            <w:pPr>
              <w:rPr>
                <w:spacing w:val="0"/>
              </w:rPr>
            </w:pPr>
            <w:r w:rsidRPr="00AC3F57">
              <w:rPr>
                <w:spacing w:val="0"/>
              </w:rPr>
              <w:lastRenderedPageBreak/>
              <w:t>EYFS</w:t>
            </w:r>
          </w:p>
        </w:tc>
        <w:tc>
          <w:tcPr>
            <w:tcW w:w="7178" w:type="dxa"/>
          </w:tcPr>
          <w:p w14:paraId="738FE097" w14:textId="77777777" w:rsidR="00070A6E" w:rsidRPr="00AC3F57" w:rsidRDefault="00070A6E" w:rsidP="007273C6">
            <w:pPr>
              <w:rPr>
                <w:spacing w:val="0"/>
              </w:rPr>
            </w:pPr>
            <w:r w:rsidRPr="00AC3F57">
              <w:rPr>
                <w:spacing w:val="0"/>
              </w:rPr>
              <w:t>Prepare a clear, simple explanation for misconceptions such as confusing ‘big’ with ‘more’.</w:t>
            </w:r>
            <w:r w:rsidRPr="00AC3F57">
              <w:rPr>
                <w:spacing w:val="0"/>
              </w:rPr>
              <w:br/>
              <w:t>Use concrete objects and repetition to clarify the idea.</w:t>
            </w:r>
          </w:p>
        </w:tc>
      </w:tr>
      <w:tr w:rsidR="00070A6E" w:rsidRPr="00AC3F57" w14:paraId="3521188E" w14:textId="77777777" w:rsidTr="007273C6">
        <w:tc>
          <w:tcPr>
            <w:tcW w:w="1838" w:type="dxa"/>
          </w:tcPr>
          <w:p w14:paraId="5673E03A" w14:textId="77777777" w:rsidR="00070A6E" w:rsidRPr="00AC3F57" w:rsidRDefault="00070A6E" w:rsidP="007273C6">
            <w:pPr>
              <w:rPr>
                <w:spacing w:val="0"/>
              </w:rPr>
            </w:pPr>
            <w:r w:rsidRPr="00AC3F57">
              <w:rPr>
                <w:spacing w:val="0"/>
              </w:rPr>
              <w:t>Primary</w:t>
            </w:r>
          </w:p>
        </w:tc>
        <w:tc>
          <w:tcPr>
            <w:tcW w:w="7178" w:type="dxa"/>
          </w:tcPr>
          <w:p w14:paraId="366E00CA" w14:textId="77777777" w:rsidR="00070A6E" w:rsidRPr="00AC3F57" w:rsidRDefault="00070A6E" w:rsidP="007273C6">
            <w:pPr>
              <w:rPr>
                <w:spacing w:val="0"/>
              </w:rPr>
            </w:pPr>
            <w:r w:rsidRPr="00AC3F57">
              <w:rPr>
                <w:spacing w:val="0"/>
              </w:rPr>
              <w:t>Write a brief, precise script addressing a frequent misconception, such as misunderstanding the value of digits in larger numbers or misidentifying verbs.</w:t>
            </w:r>
            <w:r w:rsidRPr="00AC3F57">
              <w:rPr>
                <w:spacing w:val="0"/>
              </w:rPr>
              <w:br/>
              <w:t>Use this script during modelling to ensure clarity and accuracy.</w:t>
            </w:r>
          </w:p>
        </w:tc>
      </w:tr>
      <w:tr w:rsidR="00070A6E" w:rsidRPr="00AC3F57" w14:paraId="02AA7DAC" w14:textId="77777777" w:rsidTr="007273C6">
        <w:tc>
          <w:tcPr>
            <w:tcW w:w="1838" w:type="dxa"/>
          </w:tcPr>
          <w:p w14:paraId="51B7CAE3" w14:textId="77777777" w:rsidR="00070A6E" w:rsidRPr="00AC3F57" w:rsidRDefault="00070A6E" w:rsidP="007273C6">
            <w:pPr>
              <w:rPr>
                <w:spacing w:val="0"/>
              </w:rPr>
            </w:pPr>
            <w:r w:rsidRPr="00AC3F57">
              <w:rPr>
                <w:spacing w:val="0"/>
              </w:rPr>
              <w:t>Secondary</w:t>
            </w:r>
          </w:p>
        </w:tc>
        <w:tc>
          <w:tcPr>
            <w:tcW w:w="7178" w:type="dxa"/>
          </w:tcPr>
          <w:p w14:paraId="12EF555D" w14:textId="77777777" w:rsidR="00070A6E" w:rsidRPr="00AC3F57" w:rsidRDefault="00070A6E" w:rsidP="007273C6">
            <w:pPr>
              <w:rPr>
                <w:spacing w:val="0"/>
              </w:rPr>
            </w:pPr>
            <w:r w:rsidRPr="00AC3F57">
              <w:rPr>
                <w:spacing w:val="0"/>
              </w:rPr>
              <w:t>Prepare a concise explanation that tackles a subject-specific misconception, such as confusing energy with force or misreading metaphor as literal meaning.</w:t>
            </w:r>
            <w:r w:rsidRPr="00AC3F57">
              <w:rPr>
                <w:spacing w:val="0"/>
              </w:rPr>
              <w:br/>
              <w:t>Use your script to model expert thinking and address the misconception directly.</w:t>
            </w:r>
          </w:p>
        </w:tc>
      </w:tr>
      <w:tr w:rsidR="00070A6E" w:rsidRPr="00AC3F57" w14:paraId="1FD3AE12" w14:textId="77777777" w:rsidTr="007273C6">
        <w:tc>
          <w:tcPr>
            <w:tcW w:w="1838" w:type="dxa"/>
          </w:tcPr>
          <w:p w14:paraId="61A3DB64" w14:textId="77777777" w:rsidR="00070A6E" w:rsidRPr="00AC3F57" w:rsidRDefault="00070A6E" w:rsidP="007273C6">
            <w:pPr>
              <w:rPr>
                <w:spacing w:val="0"/>
              </w:rPr>
            </w:pPr>
            <w:r w:rsidRPr="00AC3F57">
              <w:rPr>
                <w:spacing w:val="0"/>
              </w:rPr>
              <w:t>Specialist – SEND setting</w:t>
            </w:r>
          </w:p>
        </w:tc>
        <w:tc>
          <w:tcPr>
            <w:tcW w:w="7178" w:type="dxa"/>
          </w:tcPr>
          <w:p w14:paraId="6624761A" w14:textId="77777777" w:rsidR="00070A6E" w:rsidRPr="00AC3F57" w:rsidRDefault="00070A6E" w:rsidP="007273C6">
            <w:pPr>
              <w:rPr>
                <w:spacing w:val="0"/>
              </w:rPr>
            </w:pPr>
            <w:r w:rsidRPr="00AC3F57">
              <w:rPr>
                <w:spacing w:val="0"/>
              </w:rPr>
              <w:t>Script a step-by-step explanation with visuals for misconceptions your pupils often hold.</w:t>
            </w:r>
            <w:r w:rsidRPr="00AC3F57">
              <w:rPr>
                <w:spacing w:val="0"/>
              </w:rPr>
              <w:br/>
              <w:t>Use simple language and repeat key points to reinforce understanding.</w:t>
            </w:r>
          </w:p>
        </w:tc>
      </w:tr>
      <w:tr w:rsidR="00070A6E" w:rsidRPr="00AC3F57" w14:paraId="3A218372" w14:textId="77777777" w:rsidTr="007273C6">
        <w:tc>
          <w:tcPr>
            <w:tcW w:w="1838" w:type="dxa"/>
          </w:tcPr>
          <w:p w14:paraId="16C9AE3A" w14:textId="77777777" w:rsidR="00070A6E" w:rsidRPr="00AC3F57" w:rsidRDefault="00070A6E" w:rsidP="007273C6">
            <w:pPr>
              <w:rPr>
                <w:spacing w:val="0"/>
              </w:rPr>
            </w:pPr>
            <w:r w:rsidRPr="00AC3F57">
              <w:rPr>
                <w:spacing w:val="0"/>
              </w:rPr>
              <w:t>Specialist – Alternative Provision setting</w:t>
            </w:r>
          </w:p>
        </w:tc>
        <w:tc>
          <w:tcPr>
            <w:tcW w:w="7178" w:type="dxa"/>
          </w:tcPr>
          <w:p w14:paraId="522D97B3" w14:textId="77777777" w:rsidR="00070A6E" w:rsidRPr="00AC3F57" w:rsidRDefault="00070A6E" w:rsidP="007273C6">
            <w:pPr>
              <w:rPr>
                <w:spacing w:val="0"/>
              </w:rPr>
            </w:pPr>
            <w:r w:rsidRPr="00AC3F57">
              <w:rPr>
                <w:spacing w:val="0"/>
              </w:rPr>
              <w:t>Prepare a practical, relatable explanation for misconceptions, linking the concept to everyday experience (e.g., confusing cause and effect in behaviour or science).</w:t>
            </w:r>
            <w:r w:rsidRPr="00AC3F57">
              <w:rPr>
                <w:spacing w:val="0"/>
              </w:rPr>
              <w:br/>
              <w:t>Deliver it in short, accessible steps to maximise clarity.</w:t>
            </w:r>
          </w:p>
        </w:tc>
      </w:tr>
    </w:tbl>
    <w:p w14:paraId="32BC88F4" w14:textId="77777777" w:rsidR="00070A6E" w:rsidRPr="00AC3F57" w:rsidRDefault="00070A6E" w:rsidP="00070A6E"/>
    <w:p w14:paraId="05DEB8A2" w14:textId="77777777" w:rsidR="00070A6E" w:rsidRPr="00AC3F57" w:rsidRDefault="00070A6E" w:rsidP="00070A6E">
      <w:pPr>
        <w:pStyle w:val="Subheading"/>
      </w:pPr>
      <w:bookmarkStart w:id="24" w:name="R3actionsteps"/>
      <w:r w:rsidRPr="00AC3F57">
        <w:t>Reading 3 - Possible action steps</w:t>
      </w:r>
    </w:p>
    <w:bookmarkEnd w:id="24"/>
    <w:p w14:paraId="4C5DD6F9" w14:textId="77777777" w:rsidR="00070A6E" w:rsidRPr="00AC3F57" w:rsidRDefault="00070A6E" w:rsidP="00070A6E">
      <w:r w:rsidRPr="00AC3F57">
        <w:t xml:space="preserve">Consider one of the following which draw on the work of Willingham (2019). </w:t>
      </w:r>
    </w:p>
    <w:p w14:paraId="470CEA2B" w14:textId="77777777" w:rsidR="00070A6E" w:rsidRPr="00AC3F57" w:rsidRDefault="00070A6E" w:rsidP="00070A6E">
      <w:pPr>
        <w:pStyle w:val="ListParagraph"/>
        <w:numPr>
          <w:ilvl w:val="0"/>
          <w:numId w:val="59"/>
        </w:numPr>
        <w:spacing w:before="0" w:after="200"/>
        <w:rPr>
          <w:lang w:val="en-US"/>
        </w:rPr>
      </w:pPr>
      <w:r w:rsidRPr="00AC3F57">
        <w:rPr>
          <w:rStyle w:val="IntenseEmphasis"/>
          <w:rFonts w:ascii="Tahoma" w:hAnsi="Tahoma"/>
          <w:b w:val="0"/>
          <w:color w:val="auto"/>
          <w:spacing w:val="0"/>
          <w:lang w:val="en-US"/>
        </w:rPr>
        <w:t>Identify critical thinking skills specific to your subject or phase.</w:t>
      </w:r>
    </w:p>
    <w:tbl>
      <w:tblPr>
        <w:tblStyle w:val="TableGrid1"/>
        <w:tblW w:w="0" w:type="auto"/>
        <w:tblLook w:val="04A0" w:firstRow="1" w:lastRow="0" w:firstColumn="1" w:lastColumn="0" w:noHBand="0" w:noVBand="1"/>
      </w:tblPr>
      <w:tblGrid>
        <w:gridCol w:w="1836"/>
        <w:gridCol w:w="7160"/>
      </w:tblGrid>
      <w:tr w:rsidR="00070A6E" w:rsidRPr="00AC3F57" w14:paraId="2800FA28" w14:textId="77777777" w:rsidTr="007273C6">
        <w:tc>
          <w:tcPr>
            <w:tcW w:w="1836" w:type="dxa"/>
          </w:tcPr>
          <w:p w14:paraId="55805A0C" w14:textId="77777777" w:rsidR="00070A6E" w:rsidRPr="00AC3F57" w:rsidRDefault="00070A6E" w:rsidP="007273C6">
            <w:pPr>
              <w:rPr>
                <w:spacing w:val="0"/>
              </w:rPr>
            </w:pPr>
            <w:r w:rsidRPr="00AC3F57">
              <w:rPr>
                <w:spacing w:val="0"/>
              </w:rPr>
              <w:t>EYFS</w:t>
            </w:r>
          </w:p>
        </w:tc>
        <w:tc>
          <w:tcPr>
            <w:tcW w:w="7160" w:type="dxa"/>
          </w:tcPr>
          <w:p w14:paraId="380B63D0" w14:textId="77777777" w:rsidR="00070A6E" w:rsidRPr="00AC3F57" w:rsidRDefault="00070A6E" w:rsidP="007273C6">
            <w:pPr>
              <w:rPr>
                <w:spacing w:val="0"/>
              </w:rPr>
            </w:pPr>
            <w:r w:rsidRPr="00AC3F57">
              <w:rPr>
                <w:spacing w:val="0"/>
              </w:rPr>
              <w:t>Identify early thinking skills such as comparing, sorting, and noticing patterns that underpin later subject learning.</w:t>
            </w:r>
            <w:r w:rsidRPr="00AC3F57">
              <w:rPr>
                <w:spacing w:val="0"/>
              </w:rPr>
              <w:br/>
              <w:t>Plan activities that nurture these skills through play and simple talk prompts.</w:t>
            </w:r>
          </w:p>
        </w:tc>
      </w:tr>
      <w:tr w:rsidR="00070A6E" w:rsidRPr="00AC3F57" w14:paraId="5D563B87" w14:textId="77777777" w:rsidTr="007273C6">
        <w:tc>
          <w:tcPr>
            <w:tcW w:w="1836" w:type="dxa"/>
          </w:tcPr>
          <w:p w14:paraId="488990F8" w14:textId="77777777" w:rsidR="00070A6E" w:rsidRPr="00AC3F57" w:rsidRDefault="00070A6E" w:rsidP="007273C6">
            <w:pPr>
              <w:rPr>
                <w:spacing w:val="0"/>
              </w:rPr>
            </w:pPr>
            <w:r w:rsidRPr="00AC3F57">
              <w:rPr>
                <w:spacing w:val="0"/>
              </w:rPr>
              <w:t>Primary</w:t>
            </w:r>
          </w:p>
        </w:tc>
        <w:tc>
          <w:tcPr>
            <w:tcW w:w="7160" w:type="dxa"/>
          </w:tcPr>
          <w:p w14:paraId="608B5C06" w14:textId="77777777" w:rsidR="00070A6E" w:rsidRPr="00AC3F57" w:rsidRDefault="00070A6E" w:rsidP="007273C6">
            <w:pPr>
              <w:rPr>
                <w:spacing w:val="0"/>
              </w:rPr>
            </w:pPr>
            <w:r w:rsidRPr="00AC3F57">
              <w:rPr>
                <w:spacing w:val="0"/>
              </w:rPr>
              <w:t>Identify the core critical thinking skills your subject requires, such as evaluating evidence in history or spotting patterns in maths.</w:t>
            </w:r>
            <w:r w:rsidRPr="00AC3F57">
              <w:rPr>
                <w:spacing w:val="0"/>
              </w:rPr>
              <w:br/>
              <w:t>Map these skills onto your unit plans so pupils encounter them frequently.</w:t>
            </w:r>
          </w:p>
        </w:tc>
      </w:tr>
      <w:tr w:rsidR="00070A6E" w:rsidRPr="00AC3F57" w14:paraId="2A13D9AC" w14:textId="77777777" w:rsidTr="007273C6">
        <w:tc>
          <w:tcPr>
            <w:tcW w:w="1836" w:type="dxa"/>
          </w:tcPr>
          <w:p w14:paraId="503692B8" w14:textId="77777777" w:rsidR="00070A6E" w:rsidRPr="00AC3F57" w:rsidRDefault="00070A6E" w:rsidP="007273C6">
            <w:pPr>
              <w:rPr>
                <w:spacing w:val="0"/>
              </w:rPr>
            </w:pPr>
            <w:r w:rsidRPr="00AC3F57">
              <w:rPr>
                <w:spacing w:val="0"/>
              </w:rPr>
              <w:lastRenderedPageBreak/>
              <w:t>Secondary</w:t>
            </w:r>
          </w:p>
        </w:tc>
        <w:tc>
          <w:tcPr>
            <w:tcW w:w="7160" w:type="dxa"/>
          </w:tcPr>
          <w:p w14:paraId="58A76D2A" w14:textId="77777777" w:rsidR="00070A6E" w:rsidRPr="00AC3F57" w:rsidRDefault="00070A6E" w:rsidP="007273C6">
            <w:pPr>
              <w:rPr>
                <w:spacing w:val="0"/>
              </w:rPr>
            </w:pPr>
            <w:r w:rsidRPr="00AC3F57">
              <w:rPr>
                <w:spacing w:val="0"/>
              </w:rPr>
              <w:t>List the discipline-specific critical thinking skills essential to your subject, such as analysing source reliability in humanities or critiquing methodology in science.</w:t>
            </w:r>
            <w:r w:rsidRPr="00AC3F57">
              <w:rPr>
                <w:spacing w:val="0"/>
              </w:rPr>
              <w:br/>
              <w:t>Make these skills explicit in your lesson objectives and modelling.</w:t>
            </w:r>
          </w:p>
        </w:tc>
      </w:tr>
      <w:tr w:rsidR="00070A6E" w:rsidRPr="00AC3F57" w14:paraId="2D61C4B5" w14:textId="77777777" w:rsidTr="007273C6">
        <w:tc>
          <w:tcPr>
            <w:tcW w:w="1836" w:type="dxa"/>
          </w:tcPr>
          <w:p w14:paraId="56926729" w14:textId="77777777" w:rsidR="00070A6E" w:rsidRPr="00AC3F57" w:rsidRDefault="00070A6E" w:rsidP="007273C6">
            <w:pPr>
              <w:rPr>
                <w:spacing w:val="0"/>
              </w:rPr>
            </w:pPr>
            <w:r w:rsidRPr="00AC3F57">
              <w:rPr>
                <w:spacing w:val="0"/>
              </w:rPr>
              <w:t>Specialist – SEND setting</w:t>
            </w:r>
          </w:p>
        </w:tc>
        <w:tc>
          <w:tcPr>
            <w:tcW w:w="7160" w:type="dxa"/>
          </w:tcPr>
          <w:p w14:paraId="498C7B44" w14:textId="77777777" w:rsidR="00070A6E" w:rsidRPr="00AC3F57" w:rsidRDefault="00070A6E" w:rsidP="007273C6">
            <w:pPr>
              <w:rPr>
                <w:spacing w:val="0"/>
              </w:rPr>
            </w:pPr>
            <w:r w:rsidRPr="00AC3F57">
              <w:rPr>
                <w:spacing w:val="0"/>
              </w:rPr>
              <w:t>Break down subject-specific thinking skills into clear, manageable steps, such as identifying key information or making simple inferences.</w:t>
            </w:r>
            <w:r w:rsidRPr="00AC3F57">
              <w:rPr>
                <w:spacing w:val="0"/>
              </w:rPr>
              <w:br/>
              <w:t>Plan tasks that allow pupils to practise these steps with high support.</w:t>
            </w:r>
          </w:p>
        </w:tc>
      </w:tr>
      <w:tr w:rsidR="00070A6E" w:rsidRPr="00AC3F57" w14:paraId="6F062186" w14:textId="77777777" w:rsidTr="007273C6">
        <w:tc>
          <w:tcPr>
            <w:tcW w:w="1836" w:type="dxa"/>
          </w:tcPr>
          <w:p w14:paraId="1AC427E7" w14:textId="77777777" w:rsidR="00070A6E" w:rsidRPr="00AC3F57" w:rsidRDefault="00070A6E" w:rsidP="007273C6">
            <w:pPr>
              <w:rPr>
                <w:spacing w:val="0"/>
              </w:rPr>
            </w:pPr>
            <w:r w:rsidRPr="00AC3F57">
              <w:rPr>
                <w:spacing w:val="0"/>
              </w:rPr>
              <w:t>Specialist – Alternative Provision setting</w:t>
            </w:r>
          </w:p>
        </w:tc>
        <w:tc>
          <w:tcPr>
            <w:tcW w:w="7160" w:type="dxa"/>
          </w:tcPr>
          <w:p w14:paraId="723B7BB7" w14:textId="77777777" w:rsidR="00070A6E" w:rsidRPr="00AC3F57" w:rsidRDefault="00070A6E" w:rsidP="007273C6">
            <w:pPr>
              <w:rPr>
                <w:spacing w:val="0"/>
              </w:rPr>
            </w:pPr>
            <w:r w:rsidRPr="00AC3F57">
              <w:rPr>
                <w:spacing w:val="0"/>
              </w:rPr>
              <w:t>Identify practical, real-world thinking skills linked to your subject, such as assessing risk in vocational tasks or evaluating options in PSHE.</w:t>
            </w:r>
            <w:r w:rsidRPr="00AC3F57">
              <w:rPr>
                <w:spacing w:val="0"/>
              </w:rPr>
              <w:br/>
              <w:t>Design activities that let pupils apply these skills in meaningful, authentic contexts.</w:t>
            </w:r>
          </w:p>
        </w:tc>
      </w:tr>
    </w:tbl>
    <w:p w14:paraId="5941103B" w14:textId="77777777" w:rsidR="00070A6E" w:rsidRPr="00AC3F57" w:rsidRDefault="00070A6E" w:rsidP="00070A6E">
      <w:pPr>
        <w:spacing w:before="0" w:after="0"/>
      </w:pPr>
    </w:p>
    <w:p w14:paraId="30189FB2" w14:textId="77777777" w:rsidR="00070A6E" w:rsidRPr="00AC3F57" w:rsidRDefault="00070A6E" w:rsidP="00070A6E">
      <w:pPr>
        <w:pStyle w:val="ListParagraph"/>
        <w:numPr>
          <w:ilvl w:val="0"/>
          <w:numId w:val="59"/>
        </w:numPr>
        <w:spacing w:before="0" w:after="0"/>
        <w:rPr>
          <w:lang w:val="en-US"/>
        </w:rPr>
      </w:pPr>
      <w:r w:rsidRPr="00AC3F57">
        <w:rPr>
          <w:rFonts w:ascii="Tahoma" w:hAnsi="Tahoma"/>
          <w:bCs/>
          <w:iCs/>
        </w:rPr>
        <w:t>Teach critical thinking within subject domains, not as a standalone skill.</w:t>
      </w:r>
    </w:p>
    <w:p w14:paraId="3BB33799" w14:textId="77777777" w:rsidR="00070A6E" w:rsidRPr="00AC3F57" w:rsidRDefault="00070A6E" w:rsidP="00070A6E">
      <w:pPr>
        <w:pStyle w:val="ListParagraph"/>
        <w:spacing w:before="0" w:after="0"/>
        <w:rPr>
          <w:lang w:val="en-US"/>
        </w:rPr>
      </w:pPr>
    </w:p>
    <w:tbl>
      <w:tblPr>
        <w:tblStyle w:val="TableGrid1"/>
        <w:tblW w:w="0" w:type="auto"/>
        <w:tblLook w:val="04A0" w:firstRow="1" w:lastRow="0" w:firstColumn="1" w:lastColumn="0" w:noHBand="0" w:noVBand="1"/>
      </w:tblPr>
      <w:tblGrid>
        <w:gridCol w:w="1836"/>
        <w:gridCol w:w="7160"/>
      </w:tblGrid>
      <w:tr w:rsidR="00070A6E" w:rsidRPr="00AC3F57" w14:paraId="1F2E92A9" w14:textId="77777777" w:rsidTr="007273C6">
        <w:tc>
          <w:tcPr>
            <w:tcW w:w="1838" w:type="dxa"/>
          </w:tcPr>
          <w:p w14:paraId="6568AA71" w14:textId="77777777" w:rsidR="00070A6E" w:rsidRPr="00AC3F57" w:rsidRDefault="00070A6E" w:rsidP="007273C6">
            <w:pPr>
              <w:rPr>
                <w:spacing w:val="0"/>
              </w:rPr>
            </w:pPr>
            <w:r w:rsidRPr="00AC3F57">
              <w:rPr>
                <w:spacing w:val="0"/>
              </w:rPr>
              <w:t>EYFS</w:t>
            </w:r>
          </w:p>
        </w:tc>
        <w:tc>
          <w:tcPr>
            <w:tcW w:w="7178" w:type="dxa"/>
          </w:tcPr>
          <w:p w14:paraId="7B5FA44A" w14:textId="77777777" w:rsidR="00070A6E" w:rsidRPr="00AC3F57" w:rsidRDefault="00070A6E" w:rsidP="007273C6">
            <w:pPr>
              <w:rPr>
                <w:spacing w:val="0"/>
              </w:rPr>
            </w:pPr>
            <w:r w:rsidRPr="00AC3F57">
              <w:rPr>
                <w:spacing w:val="0"/>
              </w:rPr>
              <w:t>Plan activities that introduce thinking skills within familiar themes, such as asking children to compare two stories to decide which character is being kind.</w:t>
            </w:r>
            <w:r w:rsidRPr="00AC3F57">
              <w:rPr>
                <w:spacing w:val="0"/>
              </w:rPr>
              <w:br/>
              <w:t>Model simple reasoning using concrete examples.</w:t>
            </w:r>
          </w:p>
        </w:tc>
      </w:tr>
      <w:tr w:rsidR="00070A6E" w:rsidRPr="00AC3F57" w14:paraId="2DFA0AD2" w14:textId="77777777" w:rsidTr="007273C6">
        <w:tc>
          <w:tcPr>
            <w:tcW w:w="1838" w:type="dxa"/>
          </w:tcPr>
          <w:p w14:paraId="58BD26E6" w14:textId="77777777" w:rsidR="00070A6E" w:rsidRPr="00AC3F57" w:rsidRDefault="00070A6E" w:rsidP="007273C6">
            <w:pPr>
              <w:rPr>
                <w:spacing w:val="0"/>
              </w:rPr>
            </w:pPr>
            <w:r w:rsidRPr="00AC3F57">
              <w:rPr>
                <w:spacing w:val="0"/>
              </w:rPr>
              <w:t>Primary</w:t>
            </w:r>
          </w:p>
        </w:tc>
        <w:tc>
          <w:tcPr>
            <w:tcW w:w="7178" w:type="dxa"/>
          </w:tcPr>
          <w:p w14:paraId="6B8A26A9" w14:textId="77777777" w:rsidR="00070A6E" w:rsidRPr="00AC3F57" w:rsidRDefault="00070A6E" w:rsidP="007273C6">
            <w:pPr>
              <w:rPr>
                <w:spacing w:val="0"/>
              </w:rPr>
            </w:pPr>
            <w:r w:rsidRPr="00AC3F57">
              <w:rPr>
                <w:spacing w:val="0"/>
              </w:rPr>
              <w:t>Teach critical thinking through subject content by modelling skills such as evaluating evidence in history or identifying patterns in maths.</w:t>
            </w:r>
            <w:r w:rsidRPr="00AC3F57">
              <w:rPr>
                <w:spacing w:val="0"/>
              </w:rPr>
              <w:br/>
              <w:t>Give pupils structured tasks that let them apply these skills directly within the topic.</w:t>
            </w:r>
          </w:p>
        </w:tc>
      </w:tr>
      <w:tr w:rsidR="00070A6E" w:rsidRPr="00AC3F57" w14:paraId="071197FE" w14:textId="77777777" w:rsidTr="007273C6">
        <w:tc>
          <w:tcPr>
            <w:tcW w:w="1838" w:type="dxa"/>
          </w:tcPr>
          <w:p w14:paraId="6C7DE3A4" w14:textId="77777777" w:rsidR="00070A6E" w:rsidRPr="00AC3F57" w:rsidRDefault="00070A6E" w:rsidP="007273C6">
            <w:pPr>
              <w:rPr>
                <w:spacing w:val="0"/>
              </w:rPr>
            </w:pPr>
            <w:r w:rsidRPr="00AC3F57">
              <w:rPr>
                <w:spacing w:val="0"/>
              </w:rPr>
              <w:t>Secondary</w:t>
            </w:r>
          </w:p>
        </w:tc>
        <w:tc>
          <w:tcPr>
            <w:tcW w:w="7178" w:type="dxa"/>
          </w:tcPr>
          <w:p w14:paraId="3493041D" w14:textId="77777777" w:rsidR="00070A6E" w:rsidRPr="00AC3F57" w:rsidRDefault="00070A6E" w:rsidP="007273C6">
            <w:pPr>
              <w:rPr>
                <w:spacing w:val="0"/>
              </w:rPr>
            </w:pPr>
            <w:r w:rsidRPr="00AC3F57">
              <w:rPr>
                <w:spacing w:val="0"/>
              </w:rPr>
              <w:t>Embed critical thinking in your subject by explicitly teaching discipline-specific strategies, such as analysing source reliability in history or evaluating experimental design in science.</w:t>
            </w:r>
            <w:r w:rsidRPr="00AC3F57">
              <w:rPr>
                <w:spacing w:val="0"/>
              </w:rPr>
              <w:br/>
              <w:t>Model expert thinking and provide scaffolded practice.</w:t>
            </w:r>
          </w:p>
        </w:tc>
      </w:tr>
      <w:tr w:rsidR="00070A6E" w:rsidRPr="00AC3F57" w14:paraId="6B64548B" w14:textId="77777777" w:rsidTr="007273C6">
        <w:tc>
          <w:tcPr>
            <w:tcW w:w="1838" w:type="dxa"/>
          </w:tcPr>
          <w:p w14:paraId="49009B61" w14:textId="77777777" w:rsidR="00070A6E" w:rsidRPr="00AC3F57" w:rsidRDefault="00070A6E" w:rsidP="007273C6">
            <w:pPr>
              <w:rPr>
                <w:spacing w:val="0"/>
              </w:rPr>
            </w:pPr>
            <w:r w:rsidRPr="00AC3F57">
              <w:rPr>
                <w:spacing w:val="0"/>
              </w:rPr>
              <w:t>Specialist – SEND setting</w:t>
            </w:r>
          </w:p>
        </w:tc>
        <w:tc>
          <w:tcPr>
            <w:tcW w:w="7178" w:type="dxa"/>
          </w:tcPr>
          <w:p w14:paraId="3755A33E" w14:textId="77777777" w:rsidR="00070A6E" w:rsidRPr="00AC3F57" w:rsidRDefault="00070A6E" w:rsidP="007273C6">
            <w:pPr>
              <w:rPr>
                <w:spacing w:val="0"/>
              </w:rPr>
            </w:pPr>
            <w:r w:rsidRPr="00AC3F57">
              <w:rPr>
                <w:spacing w:val="0"/>
              </w:rPr>
              <w:t>Teach critical thinking through small, clearly structured tasks anchored in concrete subject content.</w:t>
            </w:r>
            <w:r w:rsidRPr="00AC3F57">
              <w:rPr>
                <w:spacing w:val="0"/>
              </w:rPr>
              <w:br/>
              <w:t>Model the strategy step by step and use visuals to support understanding.</w:t>
            </w:r>
          </w:p>
        </w:tc>
      </w:tr>
      <w:tr w:rsidR="00070A6E" w:rsidRPr="00AC3F57" w14:paraId="540D09D6" w14:textId="77777777" w:rsidTr="007273C6">
        <w:tc>
          <w:tcPr>
            <w:tcW w:w="1838" w:type="dxa"/>
          </w:tcPr>
          <w:p w14:paraId="030C3C3B" w14:textId="77777777" w:rsidR="00070A6E" w:rsidRPr="00AC3F57" w:rsidRDefault="00070A6E" w:rsidP="007273C6">
            <w:pPr>
              <w:rPr>
                <w:spacing w:val="0"/>
              </w:rPr>
            </w:pPr>
            <w:r w:rsidRPr="00AC3F57">
              <w:rPr>
                <w:spacing w:val="0"/>
              </w:rPr>
              <w:lastRenderedPageBreak/>
              <w:t>Specialist – Alternative Provision setting</w:t>
            </w:r>
          </w:p>
        </w:tc>
        <w:tc>
          <w:tcPr>
            <w:tcW w:w="7178" w:type="dxa"/>
          </w:tcPr>
          <w:p w14:paraId="076F4DEC" w14:textId="77777777" w:rsidR="00070A6E" w:rsidRPr="00AC3F57" w:rsidRDefault="00070A6E" w:rsidP="007273C6">
            <w:pPr>
              <w:rPr>
                <w:spacing w:val="0"/>
              </w:rPr>
            </w:pPr>
            <w:r w:rsidRPr="00AC3F57">
              <w:rPr>
                <w:spacing w:val="0"/>
              </w:rPr>
              <w:t>Use practical, real-life subject tasks to develop critical thinking, such as evaluating safety choices in a vocational lesson.</w:t>
            </w:r>
            <w:r w:rsidRPr="00AC3F57">
              <w:rPr>
                <w:spacing w:val="0"/>
              </w:rPr>
              <w:br/>
              <w:t>Break the reasoning steps down and model how to apply them.</w:t>
            </w:r>
          </w:p>
        </w:tc>
      </w:tr>
    </w:tbl>
    <w:p w14:paraId="133F42EF" w14:textId="77777777" w:rsidR="00070A6E" w:rsidRPr="00AC3F57" w:rsidRDefault="00070A6E" w:rsidP="00070A6E">
      <w:pPr>
        <w:spacing w:before="0" w:after="0"/>
        <w:rPr>
          <w:lang w:val="en-US"/>
        </w:rPr>
      </w:pPr>
    </w:p>
    <w:p w14:paraId="7CF77A1A" w14:textId="77777777" w:rsidR="00070A6E" w:rsidRPr="00AC3F57" w:rsidRDefault="00070A6E" w:rsidP="00070A6E">
      <w:pPr>
        <w:pStyle w:val="ListParagraph"/>
        <w:numPr>
          <w:ilvl w:val="0"/>
          <w:numId w:val="49"/>
        </w:numPr>
        <w:spacing w:before="0" w:after="0"/>
        <w:rPr>
          <w:lang w:val="en-US"/>
        </w:rPr>
      </w:pPr>
      <w:r w:rsidRPr="00AC3F57">
        <w:rPr>
          <w:rFonts w:ascii="Tahoma" w:hAnsi="Tahoma"/>
          <w:bCs/>
          <w:iCs/>
        </w:rPr>
        <w:t>Use problem comparison and explicit modelling to help pupils recognise deep structures.</w:t>
      </w:r>
    </w:p>
    <w:tbl>
      <w:tblPr>
        <w:tblStyle w:val="TableGrid1"/>
        <w:tblW w:w="0" w:type="auto"/>
        <w:tblLook w:val="04A0" w:firstRow="1" w:lastRow="0" w:firstColumn="1" w:lastColumn="0" w:noHBand="0" w:noVBand="1"/>
      </w:tblPr>
      <w:tblGrid>
        <w:gridCol w:w="1836"/>
        <w:gridCol w:w="7160"/>
      </w:tblGrid>
      <w:tr w:rsidR="00070A6E" w:rsidRPr="00AC3F57" w14:paraId="1E7A0F7E" w14:textId="77777777" w:rsidTr="007273C6">
        <w:tc>
          <w:tcPr>
            <w:tcW w:w="1838" w:type="dxa"/>
          </w:tcPr>
          <w:p w14:paraId="3D1428E3" w14:textId="77777777" w:rsidR="00070A6E" w:rsidRPr="00AC3F57" w:rsidRDefault="00070A6E" w:rsidP="007273C6">
            <w:pPr>
              <w:rPr>
                <w:spacing w:val="0"/>
              </w:rPr>
            </w:pPr>
            <w:r w:rsidRPr="00AC3F57">
              <w:rPr>
                <w:spacing w:val="0"/>
              </w:rPr>
              <w:t>EYFS</w:t>
            </w:r>
          </w:p>
        </w:tc>
        <w:tc>
          <w:tcPr>
            <w:tcW w:w="7178" w:type="dxa"/>
          </w:tcPr>
          <w:p w14:paraId="4971669A" w14:textId="77777777" w:rsidR="00070A6E" w:rsidRPr="00AC3F57" w:rsidRDefault="00070A6E" w:rsidP="007273C6">
            <w:pPr>
              <w:rPr>
                <w:spacing w:val="0"/>
              </w:rPr>
            </w:pPr>
            <w:r w:rsidRPr="00AC3F57">
              <w:rPr>
                <w:spacing w:val="0"/>
              </w:rPr>
              <w:t>Show children two simple tasks, such as sorting animals by size and sorting objects by colour, and model noticing what is the same and different.</w:t>
            </w:r>
            <w:r w:rsidRPr="00AC3F57">
              <w:rPr>
                <w:spacing w:val="0"/>
              </w:rPr>
              <w:br/>
              <w:t>Use clear language like ‘These look different, but we sort them in the same way.’</w:t>
            </w:r>
          </w:p>
        </w:tc>
      </w:tr>
      <w:tr w:rsidR="00070A6E" w:rsidRPr="00AC3F57" w14:paraId="115593DB" w14:textId="77777777" w:rsidTr="007273C6">
        <w:tc>
          <w:tcPr>
            <w:tcW w:w="1838" w:type="dxa"/>
          </w:tcPr>
          <w:p w14:paraId="4BB11DAE" w14:textId="77777777" w:rsidR="00070A6E" w:rsidRPr="00AC3F57" w:rsidRDefault="00070A6E" w:rsidP="007273C6">
            <w:pPr>
              <w:rPr>
                <w:spacing w:val="0"/>
              </w:rPr>
            </w:pPr>
            <w:r w:rsidRPr="00AC3F57">
              <w:rPr>
                <w:spacing w:val="0"/>
              </w:rPr>
              <w:t>Primary</w:t>
            </w:r>
          </w:p>
        </w:tc>
        <w:tc>
          <w:tcPr>
            <w:tcW w:w="7178" w:type="dxa"/>
          </w:tcPr>
          <w:p w14:paraId="64CC6BEF" w14:textId="77777777" w:rsidR="00070A6E" w:rsidRPr="00AC3F57" w:rsidRDefault="00070A6E" w:rsidP="007273C6">
            <w:pPr>
              <w:rPr>
                <w:spacing w:val="0"/>
              </w:rPr>
            </w:pPr>
            <w:r w:rsidRPr="00AC3F57">
              <w:rPr>
                <w:spacing w:val="0"/>
              </w:rPr>
              <w:t>Present two worked examples with different surface features but the same underlying idea (e.g., two different fraction problems).</w:t>
            </w:r>
            <w:r w:rsidRPr="00AC3F57">
              <w:rPr>
                <w:spacing w:val="0"/>
              </w:rPr>
              <w:br/>
              <w:t>Model how to spot the shared structure and ask pupils to explain the similarity.</w:t>
            </w:r>
          </w:p>
        </w:tc>
      </w:tr>
      <w:tr w:rsidR="00070A6E" w:rsidRPr="00AC3F57" w14:paraId="300E577F" w14:textId="77777777" w:rsidTr="007273C6">
        <w:tc>
          <w:tcPr>
            <w:tcW w:w="1838" w:type="dxa"/>
          </w:tcPr>
          <w:p w14:paraId="1B15FED8" w14:textId="77777777" w:rsidR="00070A6E" w:rsidRPr="00AC3F57" w:rsidRDefault="00070A6E" w:rsidP="007273C6">
            <w:pPr>
              <w:rPr>
                <w:spacing w:val="0"/>
              </w:rPr>
            </w:pPr>
            <w:r w:rsidRPr="00AC3F57">
              <w:rPr>
                <w:spacing w:val="0"/>
              </w:rPr>
              <w:t>Secondary</w:t>
            </w:r>
          </w:p>
        </w:tc>
        <w:tc>
          <w:tcPr>
            <w:tcW w:w="7178" w:type="dxa"/>
          </w:tcPr>
          <w:p w14:paraId="35DE667B" w14:textId="77777777" w:rsidR="00070A6E" w:rsidRPr="00AC3F57" w:rsidRDefault="00070A6E" w:rsidP="007273C6">
            <w:pPr>
              <w:rPr>
                <w:spacing w:val="0"/>
              </w:rPr>
            </w:pPr>
            <w:r w:rsidRPr="00AC3F57">
              <w:rPr>
                <w:spacing w:val="0"/>
              </w:rPr>
              <w:t>Use problem comparison tasks where pupils examine two solutions with the same deep structure and discuss how the method applies to a new problem.</w:t>
            </w:r>
            <w:r w:rsidRPr="00AC3F57">
              <w:rPr>
                <w:spacing w:val="0"/>
              </w:rPr>
              <w:br/>
              <w:t>Model your thought process aloud to reveal how you identify underlying principles.</w:t>
            </w:r>
          </w:p>
        </w:tc>
      </w:tr>
      <w:tr w:rsidR="00070A6E" w:rsidRPr="00AC3F57" w14:paraId="1AC3CBF9" w14:textId="77777777" w:rsidTr="007273C6">
        <w:tc>
          <w:tcPr>
            <w:tcW w:w="1838" w:type="dxa"/>
          </w:tcPr>
          <w:p w14:paraId="313F82AC" w14:textId="77777777" w:rsidR="00070A6E" w:rsidRPr="00AC3F57" w:rsidRDefault="00070A6E" w:rsidP="007273C6">
            <w:pPr>
              <w:rPr>
                <w:spacing w:val="0"/>
              </w:rPr>
            </w:pPr>
            <w:r w:rsidRPr="00AC3F57">
              <w:rPr>
                <w:spacing w:val="0"/>
              </w:rPr>
              <w:t>Specialist – SEND setting</w:t>
            </w:r>
          </w:p>
        </w:tc>
        <w:tc>
          <w:tcPr>
            <w:tcW w:w="7178" w:type="dxa"/>
          </w:tcPr>
          <w:p w14:paraId="6C84CAA9" w14:textId="77777777" w:rsidR="00070A6E" w:rsidRPr="00AC3F57" w:rsidRDefault="00070A6E" w:rsidP="007273C6">
            <w:pPr>
              <w:rPr>
                <w:spacing w:val="0"/>
              </w:rPr>
            </w:pPr>
            <w:r w:rsidRPr="00AC3F57">
              <w:rPr>
                <w:spacing w:val="0"/>
              </w:rPr>
              <w:t>Use scaffolded comparison tasks with one clear example and one simplified non-example.</w:t>
            </w:r>
          </w:p>
          <w:p w14:paraId="3D5FAEDB" w14:textId="77777777" w:rsidR="00070A6E" w:rsidRPr="00AC3F57" w:rsidRDefault="00070A6E" w:rsidP="007273C6">
            <w:pPr>
              <w:rPr>
                <w:spacing w:val="0"/>
              </w:rPr>
            </w:pPr>
            <w:r w:rsidRPr="00AC3F57">
              <w:rPr>
                <w:spacing w:val="0"/>
              </w:rPr>
              <w:t>Model the reasoning slowly and use visuals to highlight the deep structure.</w:t>
            </w:r>
          </w:p>
        </w:tc>
      </w:tr>
      <w:tr w:rsidR="00070A6E" w:rsidRPr="00AC3F57" w14:paraId="43E8B89A" w14:textId="77777777" w:rsidTr="007273C6">
        <w:tc>
          <w:tcPr>
            <w:tcW w:w="1838" w:type="dxa"/>
          </w:tcPr>
          <w:p w14:paraId="6474BCB6" w14:textId="77777777" w:rsidR="00070A6E" w:rsidRPr="00AC3F57" w:rsidRDefault="00070A6E" w:rsidP="007273C6">
            <w:pPr>
              <w:rPr>
                <w:spacing w:val="0"/>
              </w:rPr>
            </w:pPr>
            <w:r w:rsidRPr="00AC3F57">
              <w:rPr>
                <w:spacing w:val="0"/>
              </w:rPr>
              <w:t>Specialist – Alternative Provision setting</w:t>
            </w:r>
          </w:p>
        </w:tc>
        <w:tc>
          <w:tcPr>
            <w:tcW w:w="7178" w:type="dxa"/>
          </w:tcPr>
          <w:p w14:paraId="6D78873A" w14:textId="77777777" w:rsidR="00070A6E" w:rsidRPr="00AC3F57" w:rsidRDefault="00070A6E" w:rsidP="007273C6">
            <w:pPr>
              <w:rPr>
                <w:b/>
                <w:bCs/>
                <w:spacing w:val="0"/>
              </w:rPr>
            </w:pPr>
            <w:r w:rsidRPr="00AC3F57">
              <w:rPr>
                <w:spacing w:val="0"/>
              </w:rPr>
              <w:t>Provide paired real-world scenarios that require the same underlying reasoning (e.g., budgeting for food vs budgeting for transport).</w:t>
            </w:r>
            <w:r w:rsidRPr="00AC3F57">
              <w:rPr>
                <w:spacing w:val="0"/>
              </w:rPr>
              <w:br/>
              <w:t>Model how the same thinking applies across both contexts.</w:t>
            </w:r>
          </w:p>
        </w:tc>
      </w:tr>
    </w:tbl>
    <w:p w14:paraId="50FE2C62" w14:textId="374F48FC" w:rsidR="00877B69" w:rsidRDefault="00877B69" w:rsidP="00877B69">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291641E0" w14:textId="77777777" w:rsidR="00AC3F57" w:rsidRDefault="00AC3F57">
      <w:pPr>
        <w:spacing w:before="0" w:after="200"/>
        <w:jc w:val="both"/>
        <w:rPr>
          <w:rFonts w:ascii="Tahoma" w:hAnsi="Tahoma" w:cs="Tahoma"/>
          <w:b/>
          <w:bCs/>
          <w:color w:val="004B62" w:themeColor="text1"/>
          <w:sz w:val="28"/>
          <w:szCs w:val="28"/>
        </w:rPr>
      </w:pPr>
      <w:r>
        <w:br w:type="page"/>
      </w:r>
    </w:p>
    <w:p w14:paraId="747D8454" w14:textId="4B58CF51" w:rsidR="0071127D" w:rsidRPr="00601528" w:rsidRDefault="0071127D" w:rsidP="0071127D">
      <w:pPr>
        <w:pStyle w:val="Heading"/>
      </w:pPr>
      <w:bookmarkStart w:id="25" w:name="Appendix2"/>
      <w:r>
        <w:lastRenderedPageBreak/>
        <w:t xml:space="preserve">Appendix </w:t>
      </w:r>
      <w:r w:rsidR="00D61CA6">
        <w:t>2</w:t>
      </w:r>
      <w:r>
        <w:t>: Levelling up your action step</w:t>
      </w:r>
    </w:p>
    <w:bookmarkEnd w:id="25"/>
    <w:p w14:paraId="7666398E" w14:textId="77777777" w:rsidR="009B79B0" w:rsidRPr="00B01743" w:rsidRDefault="009B79B0" w:rsidP="009B79B0">
      <w:pPr>
        <w:pStyle w:val="Subheading"/>
      </w:pPr>
      <w:r w:rsidRPr="00B01743">
        <w:t>Reading 1 – Extending your action step</w:t>
      </w:r>
    </w:p>
    <w:p w14:paraId="4ABB04A8" w14:textId="77777777" w:rsidR="009B79B0" w:rsidRDefault="009B79B0" w:rsidP="009B79B0">
      <w:pPr>
        <w:pStyle w:val="Subheading"/>
        <w:numPr>
          <w:ilvl w:val="0"/>
          <w:numId w:val="42"/>
        </w:numPr>
        <w:suppressAutoHyphens/>
        <w:autoSpaceDN w:val="0"/>
        <w:spacing w:after="0"/>
        <w:rPr>
          <w:rFonts w:asciiTheme="minorHAnsi" w:hAnsiTheme="minorHAnsi" w:cstheme="minorHAnsi"/>
          <w:b w:val="0"/>
          <w:bCs w:val="0"/>
          <w:color w:val="auto"/>
          <w:szCs w:val="22"/>
        </w:rPr>
      </w:pPr>
      <w:r w:rsidRPr="00D32406">
        <w:rPr>
          <w:rFonts w:asciiTheme="minorHAnsi" w:hAnsiTheme="minorHAnsi" w:cstheme="minorHAnsi"/>
          <w:b w:val="0"/>
          <w:bCs w:val="0"/>
          <w:color w:val="auto"/>
          <w:szCs w:val="22"/>
        </w:rPr>
        <w:t>Develop an adaptive questioning routine that responds in real time to pupils’ thinking, using follow-up questions that probe deep structure rather than surface features.</w:t>
      </w:r>
    </w:p>
    <w:p w14:paraId="03AE757B" w14:textId="77777777" w:rsidR="009B79B0" w:rsidRPr="00D32406" w:rsidRDefault="009B79B0" w:rsidP="009B79B0">
      <w:pPr>
        <w:pStyle w:val="Subheading"/>
        <w:numPr>
          <w:ilvl w:val="0"/>
          <w:numId w:val="42"/>
        </w:numPr>
        <w:suppressAutoHyphens/>
        <w:autoSpaceDN w:val="0"/>
        <w:spacing w:after="0"/>
        <w:rPr>
          <w:rFonts w:asciiTheme="minorHAnsi" w:hAnsiTheme="minorHAnsi" w:cstheme="minorHAnsi"/>
          <w:b w:val="0"/>
          <w:bCs w:val="0"/>
          <w:color w:val="auto"/>
          <w:szCs w:val="22"/>
        </w:rPr>
      </w:pPr>
      <w:r w:rsidRPr="00D32406">
        <w:rPr>
          <w:rFonts w:asciiTheme="minorHAnsi" w:hAnsiTheme="minorHAnsi" w:cstheme="minorHAnsi"/>
          <w:b w:val="0"/>
          <w:bCs w:val="0"/>
          <w:color w:val="auto"/>
          <w:szCs w:val="22"/>
        </w:rPr>
        <w:t>This might involve flexibly adjusting questions based on misconceptions that emerge, prompting pupils to justify reasoning, compare methods, and apply ideas in unfamiliar contexts. Over time, this creates a responsive dialogue that mirrors expert classroom talk.</w:t>
      </w:r>
    </w:p>
    <w:p w14:paraId="56DD97FE" w14:textId="77777777" w:rsidR="009B79B0" w:rsidRPr="00B01743" w:rsidRDefault="009B79B0" w:rsidP="009B79B0">
      <w:pPr>
        <w:pStyle w:val="Subheading"/>
      </w:pPr>
      <w:r w:rsidRPr="00B01743">
        <w:t>Reading 2 – Extending your action step</w:t>
      </w:r>
    </w:p>
    <w:p w14:paraId="0E1CE0D7" w14:textId="77777777" w:rsidR="009B79B0" w:rsidRDefault="009B79B0" w:rsidP="009B79B0">
      <w:pPr>
        <w:pStyle w:val="Subheading"/>
        <w:numPr>
          <w:ilvl w:val="0"/>
          <w:numId w:val="42"/>
        </w:numPr>
        <w:suppressAutoHyphens/>
        <w:autoSpaceDN w:val="0"/>
        <w:spacing w:after="0"/>
        <w:rPr>
          <w:rFonts w:asciiTheme="minorHAnsi" w:hAnsiTheme="minorHAnsi" w:cstheme="minorHAnsi"/>
          <w:b w:val="0"/>
          <w:bCs w:val="0"/>
          <w:color w:val="auto"/>
          <w:szCs w:val="22"/>
        </w:rPr>
      </w:pPr>
      <w:r w:rsidRPr="00156024">
        <w:rPr>
          <w:rFonts w:asciiTheme="minorHAnsi" w:hAnsiTheme="minorHAnsi" w:cstheme="minorHAnsi"/>
          <w:b w:val="0"/>
          <w:bCs w:val="0"/>
          <w:color w:val="auto"/>
          <w:szCs w:val="22"/>
        </w:rPr>
        <w:t>Extend your scripted explanation by planning multiple representations of the concept</w:t>
      </w:r>
      <w:r>
        <w:rPr>
          <w:rFonts w:asciiTheme="minorHAnsi" w:hAnsiTheme="minorHAnsi" w:cstheme="minorHAnsi"/>
          <w:b w:val="0"/>
          <w:bCs w:val="0"/>
          <w:color w:val="auto"/>
          <w:szCs w:val="22"/>
        </w:rPr>
        <w:t xml:space="preserve"> (</w:t>
      </w:r>
      <w:r w:rsidRPr="00156024">
        <w:rPr>
          <w:rFonts w:asciiTheme="minorHAnsi" w:hAnsiTheme="minorHAnsi" w:cstheme="minorHAnsi"/>
          <w:b w:val="0"/>
          <w:bCs w:val="0"/>
          <w:color w:val="auto"/>
          <w:szCs w:val="22"/>
        </w:rPr>
        <w:t>visual, verbal, concrete, and abstract</w:t>
      </w:r>
      <w:r>
        <w:rPr>
          <w:rFonts w:asciiTheme="minorHAnsi" w:hAnsiTheme="minorHAnsi" w:cstheme="minorHAnsi"/>
          <w:b w:val="0"/>
          <w:bCs w:val="0"/>
          <w:color w:val="auto"/>
          <w:szCs w:val="22"/>
        </w:rPr>
        <w:t xml:space="preserve">) </w:t>
      </w:r>
      <w:r w:rsidRPr="00156024">
        <w:rPr>
          <w:rFonts w:asciiTheme="minorHAnsi" w:hAnsiTheme="minorHAnsi" w:cstheme="minorHAnsi"/>
          <w:b w:val="0"/>
          <w:bCs w:val="0"/>
          <w:color w:val="auto"/>
          <w:szCs w:val="22"/>
        </w:rPr>
        <w:t>so you can switch approaches if pupils do not grasp the initial explanation.</w:t>
      </w:r>
    </w:p>
    <w:p w14:paraId="04EA4B5C" w14:textId="77777777" w:rsidR="009B79B0" w:rsidRPr="00156024" w:rsidRDefault="009B79B0" w:rsidP="009B79B0">
      <w:pPr>
        <w:pStyle w:val="Subheading"/>
        <w:numPr>
          <w:ilvl w:val="0"/>
          <w:numId w:val="42"/>
        </w:numPr>
        <w:suppressAutoHyphens/>
        <w:autoSpaceDN w:val="0"/>
        <w:spacing w:after="0"/>
        <w:rPr>
          <w:rFonts w:asciiTheme="minorHAnsi" w:hAnsiTheme="minorHAnsi" w:cstheme="minorHAnsi"/>
          <w:b w:val="0"/>
          <w:bCs w:val="0"/>
          <w:color w:val="auto"/>
          <w:szCs w:val="22"/>
        </w:rPr>
      </w:pPr>
      <w:r w:rsidRPr="00156024">
        <w:rPr>
          <w:rFonts w:asciiTheme="minorHAnsi" w:hAnsiTheme="minorHAnsi" w:cstheme="minorHAnsi"/>
          <w:b w:val="0"/>
          <w:bCs w:val="0"/>
          <w:color w:val="auto"/>
          <w:szCs w:val="22"/>
        </w:rPr>
        <w:t>This may include preparing alternative analogies, contrasting cases, or worked examples that help pupils connect the correct conception to existing schema. Expert teachers seamlessly select and adapt these representations during instruction.</w:t>
      </w:r>
    </w:p>
    <w:p w14:paraId="2B59C531" w14:textId="77777777" w:rsidR="009B79B0" w:rsidRPr="00B01743" w:rsidRDefault="009B79B0" w:rsidP="009B79B0">
      <w:pPr>
        <w:pStyle w:val="Subheading"/>
      </w:pPr>
      <w:r w:rsidRPr="00B01743">
        <w:t>Reading 3 – Extending your action step</w:t>
      </w:r>
    </w:p>
    <w:p w14:paraId="2DEEA831" w14:textId="77777777" w:rsidR="009B79B0" w:rsidRDefault="009B79B0" w:rsidP="009B79B0">
      <w:pPr>
        <w:pStyle w:val="Subheading3"/>
        <w:numPr>
          <w:ilvl w:val="0"/>
          <w:numId w:val="60"/>
        </w:numPr>
        <w:suppressAutoHyphens/>
        <w:autoSpaceDN w:val="0"/>
        <w:spacing w:after="0"/>
        <w:rPr>
          <w:rFonts w:asciiTheme="minorHAnsi" w:hAnsiTheme="minorHAnsi" w:cstheme="minorHAnsi"/>
          <w:b w:val="0"/>
          <w:color w:val="auto"/>
          <w:szCs w:val="22"/>
        </w:rPr>
      </w:pPr>
      <w:r w:rsidRPr="00D20FD0">
        <w:rPr>
          <w:rFonts w:asciiTheme="minorHAnsi" w:hAnsiTheme="minorHAnsi" w:cstheme="minorHAnsi"/>
          <w:b w:val="0"/>
          <w:color w:val="auto"/>
          <w:szCs w:val="22"/>
        </w:rPr>
        <w:t>Map each critical thinking skill to specific subject/phase tasks and design opportunities for pupils to transfer these skills across different topics within the domain.</w:t>
      </w:r>
    </w:p>
    <w:p w14:paraId="37B72CE7" w14:textId="77777777" w:rsidR="009B79B0" w:rsidRPr="00D20FD0" w:rsidRDefault="009B79B0" w:rsidP="009B79B0">
      <w:pPr>
        <w:pStyle w:val="Subheading3"/>
        <w:numPr>
          <w:ilvl w:val="0"/>
          <w:numId w:val="60"/>
        </w:numPr>
        <w:suppressAutoHyphens/>
        <w:autoSpaceDN w:val="0"/>
        <w:spacing w:after="0"/>
        <w:rPr>
          <w:rFonts w:asciiTheme="minorHAnsi" w:hAnsiTheme="minorHAnsi" w:cstheme="minorHAnsi"/>
          <w:b w:val="0"/>
          <w:color w:val="auto"/>
          <w:szCs w:val="22"/>
        </w:rPr>
      </w:pPr>
      <w:r w:rsidRPr="00D20FD0">
        <w:rPr>
          <w:rFonts w:asciiTheme="minorHAnsi" w:hAnsiTheme="minorHAnsi" w:cstheme="minorHAnsi"/>
          <w:b w:val="0"/>
          <w:color w:val="auto"/>
          <w:szCs w:val="22"/>
        </w:rPr>
        <w:t>This might involve creating comparison tasks, modelling how the skill looks in varied contexts, or tracking how pupils’ use of the skill develops over time. Mature practice involves cultivating a classroom culture where these skills are named, revisited, and gradually internalised by pupils.</w:t>
      </w:r>
    </w:p>
    <w:p w14:paraId="5ADD6769" w14:textId="77777777" w:rsidR="0071127D" w:rsidRPr="005771FA" w:rsidRDefault="0071127D" w:rsidP="0071127D">
      <w:pPr>
        <w:pStyle w:val="Subheading3"/>
        <w:rPr>
          <w:rStyle w:val="Hyperlink"/>
          <w:b w:val="0"/>
          <w:bCs w:val="0"/>
          <w:color w:val="008BD6" w:themeColor="accent2"/>
        </w:rPr>
      </w:pPr>
      <w:r w:rsidRPr="005771FA">
        <w:fldChar w:fldCharType="begin"/>
      </w:r>
      <w:r w:rsidRPr="005771FA">
        <w:instrText>HYPERLINK  \l "Content"</w:instrText>
      </w:r>
      <w:r w:rsidRPr="005771FA">
        <w:fldChar w:fldCharType="separate"/>
      </w:r>
      <w:r w:rsidRPr="005771FA">
        <w:rPr>
          <w:rStyle w:val="Hyperlink"/>
          <w:color w:val="008BD6" w:themeColor="accent2"/>
        </w:rPr>
        <w:t>Click here to return to the contents page.</w:t>
      </w:r>
    </w:p>
    <w:p w14:paraId="7AD51848" w14:textId="77777777" w:rsidR="0071127D" w:rsidRPr="00CE2A6B" w:rsidRDefault="0071127D" w:rsidP="0071127D">
      <w:pPr>
        <w:tabs>
          <w:tab w:val="left" w:pos="1240"/>
        </w:tabs>
        <w:rPr>
          <w:b/>
          <w:bCs/>
        </w:rPr>
        <w:sectPr w:rsidR="0071127D" w:rsidRPr="00CE2A6B" w:rsidSect="0071127D">
          <w:headerReference w:type="default" r:id="rId34"/>
          <w:footerReference w:type="default" r:id="rId35"/>
          <w:type w:val="continuous"/>
          <w:pgSz w:w="11906" w:h="16838"/>
          <w:pgMar w:top="1440" w:right="1440" w:bottom="1440" w:left="1440" w:header="720" w:footer="720" w:gutter="0"/>
          <w:cols w:space="720"/>
        </w:sectPr>
      </w:pPr>
      <w:r w:rsidRPr="005771FA">
        <w:rPr>
          <w:b/>
          <w:bCs/>
          <w:color w:val="008BD6" w:themeColor="accent2"/>
        </w:rPr>
        <w:fldChar w:fldCharType="end"/>
      </w:r>
    </w:p>
    <w:p w14:paraId="6DD8B725" w14:textId="77777777" w:rsidR="009B79B0" w:rsidRDefault="009B79B0" w:rsidP="00926097">
      <w:pPr>
        <w:pStyle w:val="Heading"/>
        <w:rPr>
          <w:lang w:val="en-US"/>
        </w:rPr>
      </w:pPr>
    </w:p>
    <w:p w14:paraId="76D84FEE" w14:textId="77777777" w:rsidR="009B79B0" w:rsidRDefault="009B79B0" w:rsidP="00926097">
      <w:pPr>
        <w:pStyle w:val="Heading"/>
        <w:rPr>
          <w:lang w:val="en-US"/>
        </w:rPr>
      </w:pPr>
    </w:p>
    <w:p w14:paraId="2630CBFD" w14:textId="77777777" w:rsidR="009B79B0" w:rsidRDefault="009B79B0" w:rsidP="00926097">
      <w:pPr>
        <w:pStyle w:val="Heading"/>
        <w:rPr>
          <w:lang w:val="en-US"/>
        </w:rPr>
      </w:pPr>
    </w:p>
    <w:p w14:paraId="7B8CFEFF" w14:textId="77777777" w:rsidR="009B79B0" w:rsidRDefault="009B79B0" w:rsidP="00926097">
      <w:pPr>
        <w:pStyle w:val="Heading"/>
        <w:rPr>
          <w:lang w:val="en-US"/>
        </w:rPr>
      </w:pPr>
    </w:p>
    <w:p w14:paraId="6FA53B50" w14:textId="5E4CE995" w:rsidR="00926097" w:rsidRPr="00F56E4B" w:rsidRDefault="00926097" w:rsidP="00926097">
      <w:pPr>
        <w:pStyle w:val="Heading"/>
      </w:pPr>
      <w:bookmarkStart w:id="26" w:name="Appendix3"/>
      <w:r>
        <w:rPr>
          <w:lang w:val="en-US"/>
        </w:rPr>
        <w:lastRenderedPageBreak/>
        <w:t xml:space="preserve">Appendix 3: </w:t>
      </w:r>
      <w:r w:rsidRPr="007A75BD">
        <w:t>Observation and feedback</w:t>
      </w:r>
      <w:r>
        <w:t xml:space="preserve"> model – Year 2</w:t>
      </w:r>
    </w:p>
    <w:bookmarkEnd w:id="26"/>
    <w:p w14:paraId="30E15BA2" w14:textId="01D557A0" w:rsidR="00926097" w:rsidRPr="00E61FF0" w:rsidRDefault="00926097" w:rsidP="00926097">
      <w:pPr>
        <w:rPr>
          <w:rFonts w:ascii="Tahoma" w:hAnsi="Tahoma" w:cs="Tahoma"/>
          <w:szCs w:val="24"/>
        </w:rPr>
      </w:pPr>
      <w:r w:rsidRPr="00E61FF0">
        <w:rPr>
          <w:rFonts w:ascii="Tahoma" w:hAnsi="Tahoma" w:cs="Tahoma"/>
          <w:b/>
          <w:bCs/>
          <w:szCs w:val="24"/>
        </w:rPr>
        <w:t>1. Praise strengths:</w:t>
      </w:r>
      <w:r w:rsidRPr="00E61FF0">
        <w:rPr>
          <w:rFonts w:ascii="Tahoma" w:hAnsi="Tahoma" w:cs="Tahoma"/>
          <w:szCs w:val="24"/>
        </w:rPr>
        <w:t xml:space="preserve"> Following the observation of your ECT, identify a specific area of their practice where you have observed improvements. This could be linked to a previous action step you have set and should be related to their Personal Professional Development </w:t>
      </w:r>
      <w:r>
        <w:rPr>
          <w:rFonts w:ascii="Tahoma" w:hAnsi="Tahoma" w:cs="Tahoma"/>
          <w:szCs w:val="24"/>
        </w:rPr>
        <w:t>Cycle</w:t>
      </w:r>
      <w:r w:rsidRPr="00E61FF0">
        <w:rPr>
          <w:rFonts w:ascii="Tahoma" w:hAnsi="Tahoma" w:cs="Tahoma"/>
          <w:szCs w:val="24"/>
        </w:rPr>
        <w:t xml:space="preserve"> for the half term. Encourage the ECT to reflect on why it was successful and the impact it will have on pupils.​</w:t>
      </w:r>
    </w:p>
    <w:p w14:paraId="50851B29" w14:textId="59DDBD76" w:rsidR="00926097" w:rsidRPr="00E61FF0" w:rsidRDefault="00926097" w:rsidP="00926097">
      <w:pPr>
        <w:rPr>
          <w:rFonts w:ascii="Tahoma" w:hAnsi="Tahoma" w:cs="Tahoma"/>
          <w:szCs w:val="24"/>
        </w:rPr>
      </w:pPr>
      <w:r w:rsidRPr="00E61FF0">
        <w:rPr>
          <w:rFonts w:ascii="Tahoma" w:hAnsi="Tahoma" w:cs="Tahoma"/>
          <w:b/>
          <w:bCs/>
          <w:szCs w:val="24"/>
        </w:rPr>
        <w:t>2. Probe areas for development:</w:t>
      </w:r>
      <w:r w:rsidRPr="00E61FF0">
        <w:rPr>
          <w:rFonts w:ascii="Tahoma" w:hAnsi="Tahoma" w:cs="Tahoma"/>
          <w:color w:val="004B62" w:themeColor="text1"/>
          <w:szCs w:val="24"/>
        </w:rPr>
        <w:t xml:space="preserve"> </w:t>
      </w:r>
      <w:r w:rsidRPr="00E61FF0">
        <w:rPr>
          <w:rFonts w:ascii="Tahoma" w:hAnsi="Tahoma" w:cs="Tahoma"/>
          <w:szCs w:val="24"/>
        </w:rPr>
        <w:t>Using your observation notes</w:t>
      </w:r>
      <w:r w:rsidR="009623DD">
        <w:rPr>
          <w:rFonts w:ascii="Tahoma" w:hAnsi="Tahoma" w:cs="Tahoma"/>
          <w:szCs w:val="24"/>
        </w:rPr>
        <w:t xml:space="preserve"> and pupil data,</w:t>
      </w:r>
      <w:r>
        <w:rPr>
          <w:rFonts w:ascii="Tahoma" w:hAnsi="Tahoma" w:cs="Tahoma"/>
          <w:szCs w:val="24"/>
        </w:rPr>
        <w:t xml:space="preserve"> </w:t>
      </w:r>
      <w:r w:rsidRPr="00E61FF0">
        <w:rPr>
          <w:rFonts w:ascii="Tahoma" w:hAnsi="Tahoma" w:cs="Tahoma"/>
          <w:szCs w:val="24"/>
        </w:rPr>
        <w:t xml:space="preserve">probe areas </w:t>
      </w:r>
      <w:r w:rsidR="009623DD">
        <w:rPr>
          <w:rFonts w:ascii="Tahoma" w:hAnsi="Tahoma" w:cs="Tahoma"/>
          <w:szCs w:val="24"/>
        </w:rPr>
        <w:t xml:space="preserve">of </w:t>
      </w:r>
      <w:r w:rsidR="009623DD" w:rsidRPr="00E61FF0">
        <w:rPr>
          <w:rFonts w:ascii="Tahoma" w:hAnsi="Tahoma" w:cs="Tahoma"/>
          <w:szCs w:val="24"/>
        </w:rPr>
        <w:t>your ECT’s Personal Professional Development</w:t>
      </w:r>
      <w:r w:rsidR="009623DD">
        <w:rPr>
          <w:rFonts w:ascii="Tahoma" w:hAnsi="Tahoma" w:cs="Tahoma"/>
          <w:szCs w:val="24"/>
        </w:rPr>
        <w:t xml:space="preserve"> plan </w:t>
      </w:r>
      <w:r w:rsidRPr="00E61FF0">
        <w:rPr>
          <w:rFonts w:ascii="Tahoma" w:hAnsi="Tahoma" w:cs="Tahoma"/>
          <w:szCs w:val="24"/>
        </w:rPr>
        <w:t xml:space="preserve">that may need further development. </w:t>
      </w:r>
      <w:r w:rsidR="009623DD">
        <w:rPr>
          <w:rFonts w:ascii="Tahoma" w:hAnsi="Tahoma" w:cs="Tahoma"/>
          <w:szCs w:val="24"/>
        </w:rPr>
        <w:t xml:space="preserve">You may wish to refer to the summary of their </w:t>
      </w:r>
      <w:r w:rsidR="00EE70F3">
        <w:rPr>
          <w:rFonts w:ascii="Tahoma" w:hAnsi="Tahoma" w:cs="Tahoma"/>
          <w:szCs w:val="24"/>
        </w:rPr>
        <w:t xml:space="preserve">related research reading in Section 1 of your self-study. </w:t>
      </w:r>
    </w:p>
    <w:p w14:paraId="1D6FCE69" w14:textId="77777777" w:rsidR="00926097" w:rsidRPr="00E61FF0" w:rsidRDefault="00926097" w:rsidP="00926097">
      <w:pPr>
        <w:rPr>
          <w:szCs w:val="24"/>
        </w:rPr>
      </w:pPr>
      <w:r w:rsidRPr="00E61FF0">
        <w:rPr>
          <w:rFonts w:ascii="Tahoma" w:hAnsi="Tahoma" w:cs="Tahoma"/>
          <w:b/>
          <w:bCs/>
          <w:szCs w:val="24"/>
        </w:rPr>
        <w:t>3. Set precise actions:</w:t>
      </w:r>
      <w:r w:rsidRPr="00E61FF0">
        <w:rPr>
          <w:color w:val="004B62" w:themeColor="text1"/>
          <w:szCs w:val="24"/>
        </w:rPr>
        <w:t xml:space="preserve"> </w:t>
      </w:r>
      <w:r w:rsidRPr="00E61FF0">
        <w:rPr>
          <w:szCs w:val="24"/>
        </w:rPr>
        <w:t xml:space="preserve">Following your discussion, identify a specific action step for your ECT to work on relating to their </w:t>
      </w:r>
      <w:r w:rsidRPr="00E61FF0">
        <w:rPr>
          <w:rFonts w:ascii="Tahoma" w:hAnsi="Tahoma" w:cs="Tahoma"/>
          <w:szCs w:val="24"/>
        </w:rPr>
        <w:t xml:space="preserve">Personal Professional Development </w:t>
      </w:r>
      <w:r w:rsidRPr="00E61FF0">
        <w:rPr>
          <w:szCs w:val="24"/>
        </w:rPr>
        <w:t xml:space="preserve">focus.  To ensure that they understand how the action step can be implemented, you may wish to create success criteria jointly with your ECT.​ The suggested action steps provided earlier in this self-study can also be used to support you with this. </w:t>
      </w:r>
    </w:p>
    <w:p w14:paraId="654E55CE" w14:textId="77777777" w:rsidR="00926097" w:rsidRPr="00E61FF0" w:rsidRDefault="00926097" w:rsidP="00926097">
      <w:pPr>
        <w:pStyle w:val="ListParagraph"/>
        <w:ind w:left="0"/>
        <w:rPr>
          <w:rFonts w:ascii="Tahoma" w:hAnsi="Tahoma" w:cs="Tahoma"/>
          <w:szCs w:val="24"/>
        </w:rPr>
      </w:pPr>
      <w:r w:rsidRPr="00E61FF0">
        <w:rPr>
          <w:rFonts w:ascii="Tahoma" w:hAnsi="Tahoma" w:cs="Tahoma"/>
          <w:b/>
        </w:rPr>
        <w:t>4. Plan based on actions:</w:t>
      </w:r>
      <w:r w:rsidRPr="00E61FF0">
        <w:rPr>
          <w:color w:val="004B62" w:themeColor="text1"/>
        </w:rPr>
        <w:t xml:space="preserve"> </w:t>
      </w:r>
      <w:r w:rsidRPr="00E61FF0">
        <w:rPr>
          <w:rFonts w:ascii="Tahoma" w:hAnsi="Tahoma" w:cs="Tahoma"/>
          <w:szCs w:val="24"/>
        </w:rPr>
        <w:t xml:space="preserve">Work with your ECT to review and refine how they will implement their action step, again referring to the </w:t>
      </w:r>
      <w:r w:rsidRPr="00E61FF0">
        <w:rPr>
          <w:szCs w:val="24"/>
        </w:rPr>
        <w:t>suggested action steps provided earlier in this self-study if necessary</w:t>
      </w:r>
      <w:r w:rsidRPr="00E61FF0">
        <w:rPr>
          <w:rFonts w:ascii="Tahoma" w:hAnsi="Tahoma" w:cs="Tahoma"/>
          <w:szCs w:val="24"/>
        </w:rPr>
        <w:t>. </w:t>
      </w:r>
    </w:p>
    <w:p w14:paraId="093E9A81" w14:textId="77777777" w:rsidR="00926097" w:rsidRDefault="00926097" w:rsidP="00926097">
      <w:r w:rsidRPr="00E61FF0">
        <w:rPr>
          <w:rFonts w:ascii="Tahoma" w:hAnsi="Tahoma" w:cs="Tahoma"/>
          <w:b/>
          <w:bCs/>
          <w:szCs w:val="24"/>
        </w:rPr>
        <w:t>5. Practice based on plan:</w:t>
      </w:r>
      <w:r w:rsidRPr="00E61FF0">
        <w:rPr>
          <w:color w:val="004B62" w:themeColor="text1"/>
          <w:szCs w:val="24"/>
        </w:rPr>
        <w:t xml:space="preserve"> </w:t>
      </w:r>
      <w:r w:rsidRPr="00E61FF0">
        <w:rPr>
          <w:szCs w:val="24"/>
        </w:rPr>
        <w:t xml:space="preserve">Using the plan and success criteria you and your ECT have </w:t>
      </w:r>
      <w:r>
        <w:rPr>
          <w:szCs w:val="24"/>
        </w:rPr>
        <w:t>co-</w:t>
      </w:r>
      <w:r w:rsidRPr="00E61FF0">
        <w:rPr>
          <w:szCs w:val="24"/>
        </w:rPr>
        <w:t>created, s</w:t>
      </w:r>
      <w:r w:rsidRPr="00E61FF0">
        <w:t>upport them to practise implement</w:t>
      </w:r>
      <w:r>
        <w:t xml:space="preserve">ing </w:t>
      </w:r>
      <w:r w:rsidRPr="00E61FF0">
        <w:t>their action ste</w:t>
      </w:r>
      <w:r w:rsidRPr="00C43817">
        <w:t xml:space="preserve">p. Providing feedback based on the success criteria, ask your ECT to repeat this until they are confident that they can implement it as planned. </w:t>
      </w:r>
    </w:p>
    <w:p w14:paraId="41B9F219" w14:textId="77777777" w:rsidR="00926097" w:rsidRPr="00106D2C" w:rsidRDefault="00926097" w:rsidP="00926097">
      <w:r w:rsidRPr="00E61FF0">
        <w:rPr>
          <w:rFonts w:ascii="Tahoma" w:hAnsi="Tahoma" w:cs="Tahoma"/>
          <w:b/>
          <w:bCs/>
          <w:szCs w:val="24"/>
        </w:rPr>
        <w:t>6. Follow-up:</w:t>
      </w:r>
      <w:r w:rsidRPr="00E61FF0">
        <w:rPr>
          <w:szCs w:val="24"/>
        </w:rPr>
        <w:t xml:space="preserve"> </w:t>
      </w:r>
      <w:r w:rsidRPr="00E61FF0">
        <w:t xml:space="preserve">Plan a follow-up observation of your ECT to see the action step related to their </w:t>
      </w:r>
      <w:r w:rsidRPr="00E61FF0">
        <w:rPr>
          <w:rFonts w:ascii="Tahoma" w:hAnsi="Tahoma" w:cs="Tahoma"/>
          <w:szCs w:val="24"/>
        </w:rPr>
        <w:t xml:space="preserve">Personal Professional Development </w:t>
      </w:r>
      <w:r w:rsidRPr="00E61FF0">
        <w:t>being put into practice in the classroom.</w:t>
      </w:r>
    </w:p>
    <w:p w14:paraId="15897B82" w14:textId="77777777" w:rsidR="00926097" w:rsidRPr="00106D2C" w:rsidRDefault="00926097" w:rsidP="00926097">
      <w:pPr>
        <w:tabs>
          <w:tab w:val="left" w:pos="1240"/>
        </w:tabs>
        <w:rPr>
          <w:b/>
          <w:bCs/>
        </w:rPr>
      </w:pPr>
    </w:p>
    <w:p w14:paraId="5653D635" w14:textId="77777777" w:rsidR="00926097" w:rsidRPr="004123C1" w:rsidRDefault="00926097" w:rsidP="00926097">
      <w:pPr>
        <w:tabs>
          <w:tab w:val="left" w:pos="1240"/>
        </w:tabs>
        <w:rPr>
          <w:b/>
          <w:bCs/>
          <w:lang w:val="en-US"/>
        </w:rPr>
        <w:sectPr w:rsidR="00926097" w:rsidRPr="004123C1" w:rsidSect="00926097">
          <w:type w:val="continuous"/>
          <w:pgSz w:w="11906" w:h="16838"/>
          <w:pgMar w:top="1440" w:right="1440" w:bottom="1440" w:left="1440" w:header="720" w:footer="720" w:gutter="0"/>
          <w:cols w:space="720"/>
        </w:sectPr>
      </w:pPr>
    </w:p>
    <w:p w14:paraId="694DA0FE" w14:textId="77777777" w:rsidR="00926097" w:rsidRPr="004D2E4E" w:rsidRDefault="00926097" w:rsidP="00926097">
      <w:pPr>
        <w:rPr>
          <w:rFonts w:ascii="Tahoma" w:hAnsi="Tahoma" w:cs="Tahoma"/>
        </w:rPr>
      </w:pPr>
    </w:p>
    <w:p w14:paraId="383B4DB7" w14:textId="16FD909B" w:rsidR="00C3490D" w:rsidRPr="004D2E4E" w:rsidRDefault="00C3490D" w:rsidP="00B54B48">
      <w:pPr>
        <w:rPr>
          <w:rFonts w:ascii="Tahoma" w:hAnsi="Tahoma" w:cs="Tahoma"/>
        </w:rPr>
      </w:pPr>
    </w:p>
    <w:sectPr w:rsidR="00C3490D" w:rsidRPr="004D2E4E" w:rsidSect="00D60011">
      <w:type w:val="continuous"/>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C8F5" w14:textId="77777777" w:rsidR="00760BA9" w:rsidRDefault="00760BA9" w:rsidP="00403260">
      <w:pPr>
        <w:spacing w:after="0" w:line="240" w:lineRule="auto"/>
      </w:pPr>
      <w:r>
        <w:separator/>
      </w:r>
    </w:p>
  </w:endnote>
  <w:endnote w:type="continuationSeparator" w:id="0">
    <w:p w14:paraId="45811418" w14:textId="77777777" w:rsidR="00760BA9" w:rsidRDefault="00760BA9" w:rsidP="00403260">
      <w:pPr>
        <w:spacing w:after="0" w:line="240" w:lineRule="auto"/>
      </w:pPr>
      <w:r>
        <w:continuationSeparator/>
      </w:r>
    </w:p>
  </w:endnote>
  <w:endnote w:type="continuationNotice" w:id="1">
    <w:p w14:paraId="2D18871F" w14:textId="77777777" w:rsidR="00760BA9" w:rsidRDefault="00760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0F2E" w14:textId="77777777" w:rsidR="00760BA9" w:rsidRDefault="00760BA9" w:rsidP="00403260">
      <w:pPr>
        <w:spacing w:after="0" w:line="240" w:lineRule="auto"/>
      </w:pPr>
      <w:r>
        <w:separator/>
      </w:r>
    </w:p>
  </w:footnote>
  <w:footnote w:type="continuationSeparator" w:id="0">
    <w:p w14:paraId="7E23424F" w14:textId="77777777" w:rsidR="00760BA9" w:rsidRDefault="00760BA9" w:rsidP="00403260">
      <w:pPr>
        <w:spacing w:after="0" w:line="240" w:lineRule="auto"/>
      </w:pPr>
      <w:r>
        <w:continuationSeparator/>
      </w:r>
    </w:p>
  </w:footnote>
  <w:footnote w:type="continuationNotice" w:id="1">
    <w:p w14:paraId="72972D3B" w14:textId="77777777" w:rsidR="00760BA9" w:rsidRDefault="00760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E1C4" w14:textId="3A21B733" w:rsidR="007B32DE" w:rsidRPr="004F02E7" w:rsidRDefault="007B32DE" w:rsidP="007B32DE">
    <w:pPr>
      <w:pBdr>
        <w:left w:val="single" w:sz="12" w:space="11" w:color="007559" w:themeColor="accent1"/>
      </w:pBdr>
      <w:tabs>
        <w:tab w:val="left" w:pos="3620"/>
        <w:tab w:val="left" w:pos="3964"/>
      </w:tabs>
      <w:spacing w:after="0"/>
      <w:rPr>
        <w:color w:val="007559" w:themeColor="accent1"/>
      </w:rPr>
    </w:pPr>
    <w:r>
      <w:rPr>
        <w:color w:val="007559" w:themeColor="accent1"/>
      </w:rPr>
      <w:t xml:space="preserve">ECT Programme Year 2 Mentor </w:t>
    </w:r>
    <w:r w:rsidR="00913E00">
      <w:rPr>
        <w:color w:val="007559" w:themeColor="accent1"/>
      </w:rPr>
      <w:t>M</w:t>
    </w:r>
    <w:r w:rsidR="008230E5">
      <w:rPr>
        <w:color w:val="007559" w:themeColor="accent1"/>
      </w:rPr>
      <w:t>aterials</w:t>
    </w:r>
    <w:r>
      <w:rPr>
        <w:color w:val="007559" w:themeColor="accent1"/>
      </w:rPr>
      <w:t>: Behaviour and relationships</w:t>
    </w:r>
  </w:p>
  <w:p w14:paraId="24B706A2" w14:textId="77777777" w:rsidR="00302BE9" w:rsidRDefault="0030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559" w:themeColor="accent1"/>
      </w:rPr>
      <w:alias w:val="Title"/>
      <w:tag w:val=""/>
      <w:id w:val="153195670"/>
      <w:placeholder>
        <w:docPart w:val="4428077394964857AB3CA30EC6E2C407"/>
      </w:placeholder>
      <w:dataBinding w:prefixMappings="xmlns:ns0='http://purl.org/dc/elements/1.1/' xmlns:ns1='http://schemas.openxmlformats.org/package/2006/metadata/core-properties' " w:xpath="/ns1:coreProperties[1]/ns0:title[1]" w:storeItemID="{6C3C8BC8-F283-45AE-878A-BAB7291924A1}"/>
      <w:text/>
    </w:sdtPr>
    <w:sdtContent>
      <w:p w14:paraId="03D94CD7" w14:textId="4BEE85B1" w:rsidR="00EA5F98" w:rsidRPr="004F02E7" w:rsidRDefault="00913E00" w:rsidP="000C50E2">
        <w:pPr>
          <w:pBdr>
            <w:left w:val="single" w:sz="12" w:space="11" w:color="007559" w:themeColor="accent1"/>
          </w:pBdr>
          <w:tabs>
            <w:tab w:val="left" w:pos="3620"/>
            <w:tab w:val="left" w:pos="3964"/>
          </w:tabs>
          <w:spacing w:after="0"/>
          <w:rPr>
            <w:color w:val="007559" w:themeColor="accent1"/>
          </w:rPr>
        </w:pPr>
        <w:r>
          <w:rPr>
            <w:color w:val="007559" w:themeColor="accent1"/>
          </w:rPr>
          <w:t>ECT Programme Y2 Mentor Materials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D2"/>
    <w:multiLevelType w:val="hybridMultilevel"/>
    <w:tmpl w:val="F61E868E"/>
    <w:lvl w:ilvl="0" w:tplc="08090001">
      <w:start w:val="1"/>
      <w:numFmt w:val="bullet"/>
      <w:lvlText w:val=""/>
      <w:lvlJc w:val="left"/>
      <w:pPr>
        <w:ind w:left="8660" w:hanging="360"/>
      </w:pPr>
      <w:rPr>
        <w:rFonts w:ascii="Symbol" w:hAnsi="Symbol" w:hint="default"/>
      </w:rPr>
    </w:lvl>
    <w:lvl w:ilvl="1" w:tplc="08090003" w:tentative="1">
      <w:start w:val="1"/>
      <w:numFmt w:val="bullet"/>
      <w:lvlText w:val="o"/>
      <w:lvlJc w:val="left"/>
      <w:pPr>
        <w:ind w:left="9380" w:hanging="360"/>
      </w:pPr>
      <w:rPr>
        <w:rFonts w:ascii="Courier New" w:hAnsi="Courier New" w:cs="Courier New" w:hint="default"/>
      </w:rPr>
    </w:lvl>
    <w:lvl w:ilvl="2" w:tplc="08090005" w:tentative="1">
      <w:start w:val="1"/>
      <w:numFmt w:val="bullet"/>
      <w:lvlText w:val=""/>
      <w:lvlJc w:val="left"/>
      <w:pPr>
        <w:ind w:left="10100" w:hanging="360"/>
      </w:pPr>
      <w:rPr>
        <w:rFonts w:ascii="Wingdings" w:hAnsi="Wingdings" w:hint="default"/>
      </w:rPr>
    </w:lvl>
    <w:lvl w:ilvl="3" w:tplc="08090001" w:tentative="1">
      <w:start w:val="1"/>
      <w:numFmt w:val="bullet"/>
      <w:lvlText w:val=""/>
      <w:lvlJc w:val="left"/>
      <w:pPr>
        <w:ind w:left="10820" w:hanging="360"/>
      </w:pPr>
      <w:rPr>
        <w:rFonts w:ascii="Symbol" w:hAnsi="Symbol" w:hint="default"/>
      </w:rPr>
    </w:lvl>
    <w:lvl w:ilvl="4" w:tplc="08090003" w:tentative="1">
      <w:start w:val="1"/>
      <w:numFmt w:val="bullet"/>
      <w:lvlText w:val="o"/>
      <w:lvlJc w:val="left"/>
      <w:pPr>
        <w:ind w:left="11540" w:hanging="360"/>
      </w:pPr>
      <w:rPr>
        <w:rFonts w:ascii="Courier New" w:hAnsi="Courier New" w:cs="Courier New" w:hint="default"/>
      </w:rPr>
    </w:lvl>
    <w:lvl w:ilvl="5" w:tplc="08090005" w:tentative="1">
      <w:start w:val="1"/>
      <w:numFmt w:val="bullet"/>
      <w:lvlText w:val=""/>
      <w:lvlJc w:val="left"/>
      <w:pPr>
        <w:ind w:left="12260" w:hanging="360"/>
      </w:pPr>
      <w:rPr>
        <w:rFonts w:ascii="Wingdings" w:hAnsi="Wingdings" w:hint="default"/>
      </w:rPr>
    </w:lvl>
    <w:lvl w:ilvl="6" w:tplc="08090001" w:tentative="1">
      <w:start w:val="1"/>
      <w:numFmt w:val="bullet"/>
      <w:lvlText w:val=""/>
      <w:lvlJc w:val="left"/>
      <w:pPr>
        <w:ind w:left="12980" w:hanging="360"/>
      </w:pPr>
      <w:rPr>
        <w:rFonts w:ascii="Symbol" w:hAnsi="Symbol" w:hint="default"/>
      </w:rPr>
    </w:lvl>
    <w:lvl w:ilvl="7" w:tplc="08090003" w:tentative="1">
      <w:start w:val="1"/>
      <w:numFmt w:val="bullet"/>
      <w:lvlText w:val="o"/>
      <w:lvlJc w:val="left"/>
      <w:pPr>
        <w:ind w:left="13700" w:hanging="360"/>
      </w:pPr>
      <w:rPr>
        <w:rFonts w:ascii="Courier New" w:hAnsi="Courier New" w:cs="Courier New" w:hint="default"/>
      </w:rPr>
    </w:lvl>
    <w:lvl w:ilvl="8" w:tplc="08090005" w:tentative="1">
      <w:start w:val="1"/>
      <w:numFmt w:val="bullet"/>
      <w:lvlText w:val=""/>
      <w:lvlJc w:val="left"/>
      <w:pPr>
        <w:ind w:left="14420" w:hanging="360"/>
      </w:pPr>
      <w:rPr>
        <w:rFonts w:ascii="Wingdings" w:hAnsi="Wingdings" w:hint="default"/>
      </w:rPr>
    </w:lvl>
  </w:abstractNum>
  <w:abstractNum w:abstractNumId="1"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13EAC"/>
    <w:multiLevelType w:val="hybridMultilevel"/>
    <w:tmpl w:val="0828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0A4A"/>
    <w:multiLevelType w:val="hybridMultilevel"/>
    <w:tmpl w:val="EC2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63BA2"/>
    <w:multiLevelType w:val="hybridMultilevel"/>
    <w:tmpl w:val="CC18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436A6"/>
    <w:multiLevelType w:val="hybridMultilevel"/>
    <w:tmpl w:val="874A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B13CD"/>
    <w:multiLevelType w:val="hybridMultilevel"/>
    <w:tmpl w:val="381E33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172D52"/>
    <w:multiLevelType w:val="hybridMultilevel"/>
    <w:tmpl w:val="1BFE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40594"/>
    <w:multiLevelType w:val="hybridMultilevel"/>
    <w:tmpl w:val="6BFE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33C1E"/>
    <w:multiLevelType w:val="hybridMultilevel"/>
    <w:tmpl w:val="1D7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22EFF"/>
    <w:multiLevelType w:val="hybridMultilevel"/>
    <w:tmpl w:val="3354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D716AF"/>
    <w:multiLevelType w:val="hybridMultilevel"/>
    <w:tmpl w:val="E454E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363DE"/>
    <w:multiLevelType w:val="hybridMultilevel"/>
    <w:tmpl w:val="29A0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56C74"/>
    <w:multiLevelType w:val="hybridMultilevel"/>
    <w:tmpl w:val="EFB0E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471AA"/>
    <w:multiLevelType w:val="hybridMultilevel"/>
    <w:tmpl w:val="2B74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D08C2"/>
    <w:multiLevelType w:val="hybridMultilevel"/>
    <w:tmpl w:val="4B06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02EC5"/>
    <w:multiLevelType w:val="hybridMultilevel"/>
    <w:tmpl w:val="426E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A27E87"/>
    <w:multiLevelType w:val="hybridMultilevel"/>
    <w:tmpl w:val="BEA0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AA0DAD"/>
    <w:multiLevelType w:val="hybridMultilevel"/>
    <w:tmpl w:val="CE3EA8C0"/>
    <w:lvl w:ilvl="0" w:tplc="064CE7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13495A"/>
    <w:multiLevelType w:val="hybridMultilevel"/>
    <w:tmpl w:val="77F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62B30"/>
    <w:multiLevelType w:val="hybridMultilevel"/>
    <w:tmpl w:val="9E3850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A2A464E"/>
    <w:multiLevelType w:val="hybridMultilevel"/>
    <w:tmpl w:val="E4EC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A871DB"/>
    <w:multiLevelType w:val="hybridMultilevel"/>
    <w:tmpl w:val="EDB85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23439B"/>
    <w:multiLevelType w:val="hybridMultilevel"/>
    <w:tmpl w:val="9938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D2946"/>
    <w:multiLevelType w:val="hybridMultilevel"/>
    <w:tmpl w:val="395C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EE78E9"/>
    <w:multiLevelType w:val="hybridMultilevel"/>
    <w:tmpl w:val="3DCE96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443028"/>
    <w:multiLevelType w:val="hybridMultilevel"/>
    <w:tmpl w:val="4FE4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5C4D9C"/>
    <w:multiLevelType w:val="hybridMultilevel"/>
    <w:tmpl w:val="55DA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9A2BC1"/>
    <w:multiLevelType w:val="hybridMultilevel"/>
    <w:tmpl w:val="B27CC28C"/>
    <w:lvl w:ilvl="0" w:tplc="F3F6BB5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FA5D1E"/>
    <w:multiLevelType w:val="hybridMultilevel"/>
    <w:tmpl w:val="01D2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EE07A0"/>
    <w:multiLevelType w:val="hybridMultilevel"/>
    <w:tmpl w:val="E1B0A3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0808F8"/>
    <w:multiLevelType w:val="hybridMultilevel"/>
    <w:tmpl w:val="C532A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09314E"/>
    <w:multiLevelType w:val="hybridMultilevel"/>
    <w:tmpl w:val="96E4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0176D5"/>
    <w:multiLevelType w:val="hybridMultilevel"/>
    <w:tmpl w:val="8348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1D0369"/>
    <w:multiLevelType w:val="hybridMultilevel"/>
    <w:tmpl w:val="67046DC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DA0BF4"/>
    <w:multiLevelType w:val="hybridMultilevel"/>
    <w:tmpl w:val="8DB6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2F5AEE"/>
    <w:multiLevelType w:val="hybridMultilevel"/>
    <w:tmpl w:val="54769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F107E"/>
    <w:multiLevelType w:val="hybridMultilevel"/>
    <w:tmpl w:val="431AC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A52146"/>
    <w:multiLevelType w:val="hybridMultilevel"/>
    <w:tmpl w:val="BC3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9F137F"/>
    <w:multiLevelType w:val="hybridMultilevel"/>
    <w:tmpl w:val="823C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2101D6"/>
    <w:multiLevelType w:val="hybridMultilevel"/>
    <w:tmpl w:val="6B285734"/>
    <w:lvl w:ilvl="0" w:tplc="E4F0846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D91BC4"/>
    <w:multiLevelType w:val="hybridMultilevel"/>
    <w:tmpl w:val="067AE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1E19B2"/>
    <w:multiLevelType w:val="hybridMultilevel"/>
    <w:tmpl w:val="FDD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386419"/>
    <w:multiLevelType w:val="hybridMultilevel"/>
    <w:tmpl w:val="A87A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F5729D"/>
    <w:multiLevelType w:val="hybridMultilevel"/>
    <w:tmpl w:val="B472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CC5F93"/>
    <w:multiLevelType w:val="hybridMultilevel"/>
    <w:tmpl w:val="8590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410ECC"/>
    <w:multiLevelType w:val="hybridMultilevel"/>
    <w:tmpl w:val="267A8F66"/>
    <w:lvl w:ilvl="0" w:tplc="6DC0EB22">
      <w:start w:val="1"/>
      <w:numFmt w:val="decimal"/>
      <w:lvlText w:val="%1."/>
      <w:lvlJc w:val="left"/>
      <w:pPr>
        <w:ind w:left="720" w:hanging="360"/>
      </w:pPr>
      <w:rPr>
        <w:rFonts w:ascii="Tahoma" w:hAnsi="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5B73B6"/>
    <w:multiLevelType w:val="multilevel"/>
    <w:tmpl w:val="C52A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C87DB9"/>
    <w:multiLevelType w:val="hybridMultilevel"/>
    <w:tmpl w:val="E8D6E1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10F0CFE"/>
    <w:multiLevelType w:val="hybridMultilevel"/>
    <w:tmpl w:val="31608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1F6E27"/>
    <w:multiLevelType w:val="hybridMultilevel"/>
    <w:tmpl w:val="3006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546368"/>
    <w:multiLevelType w:val="hybridMultilevel"/>
    <w:tmpl w:val="F3BC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C44447"/>
    <w:multiLevelType w:val="hybridMultilevel"/>
    <w:tmpl w:val="4422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254845"/>
    <w:multiLevelType w:val="hybridMultilevel"/>
    <w:tmpl w:val="6200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7073E2"/>
    <w:multiLevelType w:val="hybridMultilevel"/>
    <w:tmpl w:val="06C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233D37"/>
    <w:multiLevelType w:val="hybridMultilevel"/>
    <w:tmpl w:val="3EB8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1D2EC9"/>
    <w:multiLevelType w:val="hybridMultilevel"/>
    <w:tmpl w:val="19EA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52"/>
  </w:num>
  <w:num w:numId="2" w16cid:durableId="1153179428">
    <w:abstractNumId w:val="44"/>
  </w:num>
  <w:num w:numId="3" w16cid:durableId="1096094031">
    <w:abstractNumId w:val="47"/>
  </w:num>
  <w:num w:numId="4" w16cid:durableId="1879585177">
    <w:abstractNumId w:val="48"/>
  </w:num>
  <w:num w:numId="5" w16cid:durableId="1440955270">
    <w:abstractNumId w:val="38"/>
  </w:num>
  <w:num w:numId="6" w16cid:durableId="741098660">
    <w:abstractNumId w:val="10"/>
  </w:num>
  <w:num w:numId="7" w16cid:durableId="1413163058">
    <w:abstractNumId w:val="24"/>
  </w:num>
  <w:num w:numId="8" w16cid:durableId="1384602017">
    <w:abstractNumId w:val="33"/>
  </w:num>
  <w:num w:numId="9" w16cid:durableId="1454054881">
    <w:abstractNumId w:val="59"/>
  </w:num>
  <w:num w:numId="10" w16cid:durableId="48307842">
    <w:abstractNumId w:val="17"/>
  </w:num>
  <w:num w:numId="11" w16cid:durableId="2070228691">
    <w:abstractNumId w:val="14"/>
  </w:num>
  <w:num w:numId="12" w16cid:durableId="1634018313">
    <w:abstractNumId w:val="16"/>
  </w:num>
  <w:num w:numId="13" w16cid:durableId="374278069">
    <w:abstractNumId w:val="31"/>
  </w:num>
  <w:num w:numId="14" w16cid:durableId="352457195">
    <w:abstractNumId w:val="11"/>
  </w:num>
  <w:num w:numId="15" w16cid:durableId="2122453076">
    <w:abstractNumId w:val="25"/>
  </w:num>
  <w:num w:numId="16" w16cid:durableId="2090734897">
    <w:abstractNumId w:val="34"/>
  </w:num>
  <w:num w:numId="17" w16cid:durableId="1639721995">
    <w:abstractNumId w:val="35"/>
  </w:num>
  <w:num w:numId="18" w16cid:durableId="767165479">
    <w:abstractNumId w:val="7"/>
  </w:num>
  <w:num w:numId="19" w16cid:durableId="1123690084">
    <w:abstractNumId w:val="51"/>
  </w:num>
  <w:num w:numId="20" w16cid:durableId="560679816">
    <w:abstractNumId w:val="43"/>
  </w:num>
  <w:num w:numId="21" w16cid:durableId="643437406">
    <w:abstractNumId w:val="23"/>
  </w:num>
  <w:num w:numId="22" w16cid:durableId="278605258">
    <w:abstractNumId w:val="42"/>
  </w:num>
  <w:num w:numId="23" w16cid:durableId="1897815196">
    <w:abstractNumId w:val="9"/>
  </w:num>
  <w:num w:numId="24" w16cid:durableId="419178403">
    <w:abstractNumId w:val="32"/>
  </w:num>
  <w:num w:numId="25" w16cid:durableId="612324256">
    <w:abstractNumId w:val="45"/>
  </w:num>
  <w:num w:numId="26" w16cid:durableId="887376937">
    <w:abstractNumId w:val="58"/>
  </w:num>
  <w:num w:numId="27" w16cid:durableId="1418553610">
    <w:abstractNumId w:val="2"/>
  </w:num>
  <w:num w:numId="28" w16cid:durableId="843209163">
    <w:abstractNumId w:val="0"/>
  </w:num>
  <w:num w:numId="29" w16cid:durableId="1245066026">
    <w:abstractNumId w:val="13"/>
  </w:num>
  <w:num w:numId="30" w16cid:durableId="2008166116">
    <w:abstractNumId w:val="1"/>
  </w:num>
  <w:num w:numId="31" w16cid:durableId="1928883376">
    <w:abstractNumId w:val="54"/>
  </w:num>
  <w:num w:numId="32" w16cid:durableId="112482616">
    <w:abstractNumId w:val="30"/>
  </w:num>
  <w:num w:numId="33" w16cid:durableId="823592328">
    <w:abstractNumId w:val="40"/>
  </w:num>
  <w:num w:numId="34" w16cid:durableId="377358707">
    <w:abstractNumId w:val="19"/>
  </w:num>
  <w:num w:numId="35" w16cid:durableId="877543515">
    <w:abstractNumId w:val="21"/>
  </w:num>
  <w:num w:numId="36" w16cid:durableId="1459028414">
    <w:abstractNumId w:val="56"/>
  </w:num>
  <w:num w:numId="37" w16cid:durableId="1743025052">
    <w:abstractNumId w:val="3"/>
  </w:num>
  <w:num w:numId="38" w16cid:durableId="584849270">
    <w:abstractNumId w:val="28"/>
  </w:num>
  <w:num w:numId="39" w16cid:durableId="870800716">
    <w:abstractNumId w:val="49"/>
  </w:num>
  <w:num w:numId="40" w16cid:durableId="1437675755">
    <w:abstractNumId w:val="57"/>
  </w:num>
  <w:num w:numId="41" w16cid:durableId="1811051008">
    <w:abstractNumId w:val="20"/>
  </w:num>
  <w:num w:numId="42" w16cid:durableId="41946475">
    <w:abstractNumId w:val="53"/>
  </w:num>
  <w:num w:numId="43" w16cid:durableId="235671136">
    <w:abstractNumId w:val="15"/>
  </w:num>
  <w:num w:numId="44" w16cid:durableId="1365406307">
    <w:abstractNumId w:val="6"/>
  </w:num>
  <w:num w:numId="45" w16cid:durableId="685640659">
    <w:abstractNumId w:val="39"/>
  </w:num>
  <w:num w:numId="46" w16cid:durableId="735280736">
    <w:abstractNumId w:val="8"/>
  </w:num>
  <w:num w:numId="47" w16cid:durableId="1666469804">
    <w:abstractNumId w:val="26"/>
  </w:num>
  <w:num w:numId="48" w16cid:durableId="1790121733">
    <w:abstractNumId w:val="41"/>
  </w:num>
  <w:num w:numId="49" w16cid:durableId="1324238529">
    <w:abstractNumId w:val="18"/>
  </w:num>
  <w:num w:numId="50" w16cid:durableId="32191160">
    <w:abstractNumId w:val="55"/>
  </w:num>
  <w:num w:numId="51" w16cid:durableId="231963276">
    <w:abstractNumId w:val="12"/>
  </w:num>
  <w:num w:numId="52" w16cid:durableId="466124725">
    <w:abstractNumId w:val="4"/>
  </w:num>
  <w:num w:numId="53" w16cid:durableId="571547920">
    <w:abstractNumId w:val="5"/>
  </w:num>
  <w:num w:numId="54" w16cid:durableId="1880507359">
    <w:abstractNumId w:val="50"/>
  </w:num>
  <w:num w:numId="55" w16cid:durableId="752436560">
    <w:abstractNumId w:val="29"/>
  </w:num>
  <w:num w:numId="56" w16cid:durableId="210388670">
    <w:abstractNumId w:val="27"/>
  </w:num>
  <w:num w:numId="57" w16cid:durableId="67532411">
    <w:abstractNumId w:val="22"/>
  </w:num>
  <w:num w:numId="58" w16cid:durableId="1481384403">
    <w:abstractNumId w:val="37"/>
  </w:num>
  <w:num w:numId="59" w16cid:durableId="1977683245">
    <w:abstractNumId w:val="46"/>
  </w:num>
  <w:num w:numId="60" w16cid:durableId="1424641157">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59B"/>
    <w:rsid w:val="00001708"/>
    <w:rsid w:val="00003092"/>
    <w:rsid w:val="0000581E"/>
    <w:rsid w:val="000062A7"/>
    <w:rsid w:val="00006348"/>
    <w:rsid w:val="00010841"/>
    <w:rsid w:val="00011249"/>
    <w:rsid w:val="00011606"/>
    <w:rsid w:val="00011A64"/>
    <w:rsid w:val="00012AD4"/>
    <w:rsid w:val="000133E7"/>
    <w:rsid w:val="00013A5C"/>
    <w:rsid w:val="000150E0"/>
    <w:rsid w:val="0001592A"/>
    <w:rsid w:val="00015F62"/>
    <w:rsid w:val="000162A4"/>
    <w:rsid w:val="00017061"/>
    <w:rsid w:val="000173C8"/>
    <w:rsid w:val="00017947"/>
    <w:rsid w:val="00020B26"/>
    <w:rsid w:val="00020C54"/>
    <w:rsid w:val="0002229D"/>
    <w:rsid w:val="000225D6"/>
    <w:rsid w:val="00022ADF"/>
    <w:rsid w:val="000230DE"/>
    <w:rsid w:val="00023519"/>
    <w:rsid w:val="00023762"/>
    <w:rsid w:val="00024BE1"/>
    <w:rsid w:val="00026FD2"/>
    <w:rsid w:val="000310A4"/>
    <w:rsid w:val="00031DA1"/>
    <w:rsid w:val="00031E9A"/>
    <w:rsid w:val="00032651"/>
    <w:rsid w:val="00033235"/>
    <w:rsid w:val="00033822"/>
    <w:rsid w:val="000346EE"/>
    <w:rsid w:val="00035673"/>
    <w:rsid w:val="00035B70"/>
    <w:rsid w:val="000362A9"/>
    <w:rsid w:val="000366B7"/>
    <w:rsid w:val="00036E46"/>
    <w:rsid w:val="00036F9F"/>
    <w:rsid w:val="00037728"/>
    <w:rsid w:val="00037F34"/>
    <w:rsid w:val="00040249"/>
    <w:rsid w:val="000405D9"/>
    <w:rsid w:val="000410AF"/>
    <w:rsid w:val="00042517"/>
    <w:rsid w:val="0004278B"/>
    <w:rsid w:val="00043B0D"/>
    <w:rsid w:val="00043F1C"/>
    <w:rsid w:val="0004545E"/>
    <w:rsid w:val="000465ED"/>
    <w:rsid w:val="00046784"/>
    <w:rsid w:val="000475D3"/>
    <w:rsid w:val="00047CE1"/>
    <w:rsid w:val="0005043E"/>
    <w:rsid w:val="00050776"/>
    <w:rsid w:val="000522A4"/>
    <w:rsid w:val="0005290A"/>
    <w:rsid w:val="0005316E"/>
    <w:rsid w:val="00054ADF"/>
    <w:rsid w:val="00056965"/>
    <w:rsid w:val="0005732B"/>
    <w:rsid w:val="000576AF"/>
    <w:rsid w:val="000600C8"/>
    <w:rsid w:val="000610C7"/>
    <w:rsid w:val="000634FB"/>
    <w:rsid w:val="0006396F"/>
    <w:rsid w:val="00064634"/>
    <w:rsid w:val="000667BB"/>
    <w:rsid w:val="00067B5C"/>
    <w:rsid w:val="0007054B"/>
    <w:rsid w:val="00070A6E"/>
    <w:rsid w:val="00070D98"/>
    <w:rsid w:val="00071329"/>
    <w:rsid w:val="00071AEF"/>
    <w:rsid w:val="00071FA7"/>
    <w:rsid w:val="000725B9"/>
    <w:rsid w:val="00074559"/>
    <w:rsid w:val="0007562E"/>
    <w:rsid w:val="00076CA4"/>
    <w:rsid w:val="00076CD1"/>
    <w:rsid w:val="00080DF3"/>
    <w:rsid w:val="0008265D"/>
    <w:rsid w:val="00082DC3"/>
    <w:rsid w:val="000845D0"/>
    <w:rsid w:val="0008498C"/>
    <w:rsid w:val="00086497"/>
    <w:rsid w:val="00086817"/>
    <w:rsid w:val="00086C99"/>
    <w:rsid w:val="000909BD"/>
    <w:rsid w:val="000909F3"/>
    <w:rsid w:val="00090FEE"/>
    <w:rsid w:val="00091241"/>
    <w:rsid w:val="00092103"/>
    <w:rsid w:val="00092DD0"/>
    <w:rsid w:val="00093F3C"/>
    <w:rsid w:val="0009401B"/>
    <w:rsid w:val="000940D1"/>
    <w:rsid w:val="000948D5"/>
    <w:rsid w:val="000965E1"/>
    <w:rsid w:val="00096F83"/>
    <w:rsid w:val="00097E89"/>
    <w:rsid w:val="000A0236"/>
    <w:rsid w:val="000A0242"/>
    <w:rsid w:val="000A142E"/>
    <w:rsid w:val="000A2C09"/>
    <w:rsid w:val="000A3B74"/>
    <w:rsid w:val="000A3EF9"/>
    <w:rsid w:val="000A674A"/>
    <w:rsid w:val="000A6862"/>
    <w:rsid w:val="000A703F"/>
    <w:rsid w:val="000A76A8"/>
    <w:rsid w:val="000A771E"/>
    <w:rsid w:val="000B1FB5"/>
    <w:rsid w:val="000B28D2"/>
    <w:rsid w:val="000B2C4E"/>
    <w:rsid w:val="000B31C1"/>
    <w:rsid w:val="000B393A"/>
    <w:rsid w:val="000B4FDE"/>
    <w:rsid w:val="000B5388"/>
    <w:rsid w:val="000B55EF"/>
    <w:rsid w:val="000B5F59"/>
    <w:rsid w:val="000B6617"/>
    <w:rsid w:val="000B6729"/>
    <w:rsid w:val="000C013D"/>
    <w:rsid w:val="000C2807"/>
    <w:rsid w:val="000C4197"/>
    <w:rsid w:val="000C50E2"/>
    <w:rsid w:val="000C5437"/>
    <w:rsid w:val="000C5F43"/>
    <w:rsid w:val="000C6494"/>
    <w:rsid w:val="000C66C3"/>
    <w:rsid w:val="000D10F9"/>
    <w:rsid w:val="000D1F92"/>
    <w:rsid w:val="000D378B"/>
    <w:rsid w:val="000D4A19"/>
    <w:rsid w:val="000D4C10"/>
    <w:rsid w:val="000D587C"/>
    <w:rsid w:val="000D5C9C"/>
    <w:rsid w:val="000D5ECA"/>
    <w:rsid w:val="000D79EC"/>
    <w:rsid w:val="000D7A74"/>
    <w:rsid w:val="000D7D4F"/>
    <w:rsid w:val="000D7E26"/>
    <w:rsid w:val="000E1E38"/>
    <w:rsid w:val="000E27C8"/>
    <w:rsid w:val="000E27F9"/>
    <w:rsid w:val="000E2C86"/>
    <w:rsid w:val="000E4875"/>
    <w:rsid w:val="000E53D1"/>
    <w:rsid w:val="000E5E6F"/>
    <w:rsid w:val="000E5E71"/>
    <w:rsid w:val="000E5F53"/>
    <w:rsid w:val="000E60D0"/>
    <w:rsid w:val="000E63EF"/>
    <w:rsid w:val="000E7858"/>
    <w:rsid w:val="000E789F"/>
    <w:rsid w:val="000F1CD7"/>
    <w:rsid w:val="000F266F"/>
    <w:rsid w:val="000F37BF"/>
    <w:rsid w:val="000F4C18"/>
    <w:rsid w:val="000F5048"/>
    <w:rsid w:val="000F5803"/>
    <w:rsid w:val="000F65CD"/>
    <w:rsid w:val="001000B6"/>
    <w:rsid w:val="001000FC"/>
    <w:rsid w:val="00100788"/>
    <w:rsid w:val="001016B9"/>
    <w:rsid w:val="00102411"/>
    <w:rsid w:val="00102474"/>
    <w:rsid w:val="0010265C"/>
    <w:rsid w:val="00103431"/>
    <w:rsid w:val="00103704"/>
    <w:rsid w:val="00103BF9"/>
    <w:rsid w:val="001045DC"/>
    <w:rsid w:val="0010475B"/>
    <w:rsid w:val="001056A8"/>
    <w:rsid w:val="00105ABC"/>
    <w:rsid w:val="00105CE9"/>
    <w:rsid w:val="00106090"/>
    <w:rsid w:val="00106D2A"/>
    <w:rsid w:val="00106D2C"/>
    <w:rsid w:val="001075F9"/>
    <w:rsid w:val="00107FAE"/>
    <w:rsid w:val="001105C0"/>
    <w:rsid w:val="00111F21"/>
    <w:rsid w:val="0011283C"/>
    <w:rsid w:val="0011383A"/>
    <w:rsid w:val="00114673"/>
    <w:rsid w:val="001147D3"/>
    <w:rsid w:val="00115AA4"/>
    <w:rsid w:val="0011703E"/>
    <w:rsid w:val="001173C4"/>
    <w:rsid w:val="00117ED7"/>
    <w:rsid w:val="00120B6B"/>
    <w:rsid w:val="001210B1"/>
    <w:rsid w:val="001216D4"/>
    <w:rsid w:val="001227B8"/>
    <w:rsid w:val="00126380"/>
    <w:rsid w:val="00131D6C"/>
    <w:rsid w:val="001330A5"/>
    <w:rsid w:val="00133314"/>
    <w:rsid w:val="00133957"/>
    <w:rsid w:val="00133EE7"/>
    <w:rsid w:val="001346E8"/>
    <w:rsid w:val="00134A78"/>
    <w:rsid w:val="001350A9"/>
    <w:rsid w:val="00135A44"/>
    <w:rsid w:val="00135AC3"/>
    <w:rsid w:val="00136D8C"/>
    <w:rsid w:val="0013753F"/>
    <w:rsid w:val="00140863"/>
    <w:rsid w:val="00140DDC"/>
    <w:rsid w:val="00140FB0"/>
    <w:rsid w:val="00141E07"/>
    <w:rsid w:val="00142FBF"/>
    <w:rsid w:val="0014315C"/>
    <w:rsid w:val="00143697"/>
    <w:rsid w:val="0014386D"/>
    <w:rsid w:val="00143993"/>
    <w:rsid w:val="00143F03"/>
    <w:rsid w:val="0014509D"/>
    <w:rsid w:val="00145868"/>
    <w:rsid w:val="00146A49"/>
    <w:rsid w:val="00146A65"/>
    <w:rsid w:val="00150722"/>
    <w:rsid w:val="00150BE5"/>
    <w:rsid w:val="00150DAB"/>
    <w:rsid w:val="00151A9C"/>
    <w:rsid w:val="00151AA2"/>
    <w:rsid w:val="00151B38"/>
    <w:rsid w:val="00152196"/>
    <w:rsid w:val="001522A7"/>
    <w:rsid w:val="00152C99"/>
    <w:rsid w:val="00153322"/>
    <w:rsid w:val="00153999"/>
    <w:rsid w:val="00154409"/>
    <w:rsid w:val="00156AE9"/>
    <w:rsid w:val="001636E6"/>
    <w:rsid w:val="00163979"/>
    <w:rsid w:val="00164769"/>
    <w:rsid w:val="00164779"/>
    <w:rsid w:val="001647F2"/>
    <w:rsid w:val="001659FF"/>
    <w:rsid w:val="00166BED"/>
    <w:rsid w:val="0016795E"/>
    <w:rsid w:val="00167DAD"/>
    <w:rsid w:val="001706A7"/>
    <w:rsid w:val="00170811"/>
    <w:rsid w:val="00171EA7"/>
    <w:rsid w:val="00172450"/>
    <w:rsid w:val="00172BD2"/>
    <w:rsid w:val="00173221"/>
    <w:rsid w:val="00173416"/>
    <w:rsid w:val="00173B3B"/>
    <w:rsid w:val="00175F80"/>
    <w:rsid w:val="00177746"/>
    <w:rsid w:val="00181519"/>
    <w:rsid w:val="0018175C"/>
    <w:rsid w:val="00182229"/>
    <w:rsid w:val="001829DA"/>
    <w:rsid w:val="00185056"/>
    <w:rsid w:val="00185E15"/>
    <w:rsid w:val="001866E1"/>
    <w:rsid w:val="001912D9"/>
    <w:rsid w:val="0019156E"/>
    <w:rsid w:val="00192703"/>
    <w:rsid w:val="001937C3"/>
    <w:rsid w:val="00193AF1"/>
    <w:rsid w:val="00193E5E"/>
    <w:rsid w:val="0019447F"/>
    <w:rsid w:val="00194A3F"/>
    <w:rsid w:val="00194ADF"/>
    <w:rsid w:val="001953A1"/>
    <w:rsid w:val="0019565F"/>
    <w:rsid w:val="001A062F"/>
    <w:rsid w:val="001A0B97"/>
    <w:rsid w:val="001A19B2"/>
    <w:rsid w:val="001A20AF"/>
    <w:rsid w:val="001A2AF7"/>
    <w:rsid w:val="001A2BB5"/>
    <w:rsid w:val="001A68C9"/>
    <w:rsid w:val="001A72CF"/>
    <w:rsid w:val="001A7F1E"/>
    <w:rsid w:val="001B0E6F"/>
    <w:rsid w:val="001B1A2C"/>
    <w:rsid w:val="001B1B7C"/>
    <w:rsid w:val="001B27F7"/>
    <w:rsid w:val="001B3E3C"/>
    <w:rsid w:val="001B5C46"/>
    <w:rsid w:val="001B5D05"/>
    <w:rsid w:val="001B7047"/>
    <w:rsid w:val="001B738F"/>
    <w:rsid w:val="001C0297"/>
    <w:rsid w:val="001C22FC"/>
    <w:rsid w:val="001C3462"/>
    <w:rsid w:val="001C3BE4"/>
    <w:rsid w:val="001C485B"/>
    <w:rsid w:val="001C4B99"/>
    <w:rsid w:val="001C5369"/>
    <w:rsid w:val="001C5E64"/>
    <w:rsid w:val="001C6292"/>
    <w:rsid w:val="001C62DD"/>
    <w:rsid w:val="001C67B3"/>
    <w:rsid w:val="001C70DA"/>
    <w:rsid w:val="001D1793"/>
    <w:rsid w:val="001D222F"/>
    <w:rsid w:val="001D2D22"/>
    <w:rsid w:val="001D4361"/>
    <w:rsid w:val="001D569D"/>
    <w:rsid w:val="001D576E"/>
    <w:rsid w:val="001D67DB"/>
    <w:rsid w:val="001E2AD2"/>
    <w:rsid w:val="001E30F9"/>
    <w:rsid w:val="001E369A"/>
    <w:rsid w:val="001E36BF"/>
    <w:rsid w:val="001E3F38"/>
    <w:rsid w:val="001E4151"/>
    <w:rsid w:val="001E4A0B"/>
    <w:rsid w:val="001E5C57"/>
    <w:rsid w:val="001E68F6"/>
    <w:rsid w:val="001E7C12"/>
    <w:rsid w:val="001F0A6A"/>
    <w:rsid w:val="001F0F0E"/>
    <w:rsid w:val="001F158A"/>
    <w:rsid w:val="001F2072"/>
    <w:rsid w:val="001F24FB"/>
    <w:rsid w:val="001F2783"/>
    <w:rsid w:val="001F2BF0"/>
    <w:rsid w:val="001F352D"/>
    <w:rsid w:val="001F3A74"/>
    <w:rsid w:val="001F4021"/>
    <w:rsid w:val="001F49E0"/>
    <w:rsid w:val="001F4D22"/>
    <w:rsid w:val="001F5BBF"/>
    <w:rsid w:val="001F5EB5"/>
    <w:rsid w:val="001F66F5"/>
    <w:rsid w:val="001F7344"/>
    <w:rsid w:val="002015BB"/>
    <w:rsid w:val="00201D59"/>
    <w:rsid w:val="002022B7"/>
    <w:rsid w:val="00202CB2"/>
    <w:rsid w:val="00202F2A"/>
    <w:rsid w:val="0020370F"/>
    <w:rsid w:val="002042D1"/>
    <w:rsid w:val="00204E78"/>
    <w:rsid w:val="002071DE"/>
    <w:rsid w:val="00210C58"/>
    <w:rsid w:val="0021395B"/>
    <w:rsid w:val="002170A7"/>
    <w:rsid w:val="00217F51"/>
    <w:rsid w:val="002219CE"/>
    <w:rsid w:val="00222066"/>
    <w:rsid w:val="00222D1C"/>
    <w:rsid w:val="002259CD"/>
    <w:rsid w:val="00226AD5"/>
    <w:rsid w:val="00227742"/>
    <w:rsid w:val="00227C33"/>
    <w:rsid w:val="00230D88"/>
    <w:rsid w:val="00232E68"/>
    <w:rsid w:val="0023353B"/>
    <w:rsid w:val="00234785"/>
    <w:rsid w:val="00234EA8"/>
    <w:rsid w:val="00235DF8"/>
    <w:rsid w:val="00236A17"/>
    <w:rsid w:val="00236FE6"/>
    <w:rsid w:val="002374D9"/>
    <w:rsid w:val="00237624"/>
    <w:rsid w:val="002377A7"/>
    <w:rsid w:val="00240DDD"/>
    <w:rsid w:val="0024353B"/>
    <w:rsid w:val="00243AFA"/>
    <w:rsid w:val="00243C8A"/>
    <w:rsid w:val="0024483B"/>
    <w:rsid w:val="00244ADE"/>
    <w:rsid w:val="002454A4"/>
    <w:rsid w:val="002461DB"/>
    <w:rsid w:val="00246576"/>
    <w:rsid w:val="00246CBB"/>
    <w:rsid w:val="0024714F"/>
    <w:rsid w:val="002473F7"/>
    <w:rsid w:val="00247891"/>
    <w:rsid w:val="00247AFC"/>
    <w:rsid w:val="00251C40"/>
    <w:rsid w:val="00251DAB"/>
    <w:rsid w:val="0025357E"/>
    <w:rsid w:val="00254921"/>
    <w:rsid w:val="00254E6D"/>
    <w:rsid w:val="00255608"/>
    <w:rsid w:val="002568B0"/>
    <w:rsid w:val="00257416"/>
    <w:rsid w:val="00257E66"/>
    <w:rsid w:val="00260C7B"/>
    <w:rsid w:val="00261B2D"/>
    <w:rsid w:val="00263793"/>
    <w:rsid w:val="00263F50"/>
    <w:rsid w:val="0026485D"/>
    <w:rsid w:val="00264985"/>
    <w:rsid w:val="00264DB2"/>
    <w:rsid w:val="00265956"/>
    <w:rsid w:val="00267730"/>
    <w:rsid w:val="00267A82"/>
    <w:rsid w:val="00270E8E"/>
    <w:rsid w:val="00271B91"/>
    <w:rsid w:val="002722F6"/>
    <w:rsid w:val="00272BE9"/>
    <w:rsid w:val="0027331E"/>
    <w:rsid w:val="00273B5C"/>
    <w:rsid w:val="002745A5"/>
    <w:rsid w:val="002749E3"/>
    <w:rsid w:val="0027641D"/>
    <w:rsid w:val="0028079A"/>
    <w:rsid w:val="002810ED"/>
    <w:rsid w:val="0028144D"/>
    <w:rsid w:val="00281497"/>
    <w:rsid w:val="00282500"/>
    <w:rsid w:val="0028265B"/>
    <w:rsid w:val="00282A80"/>
    <w:rsid w:val="00282E2B"/>
    <w:rsid w:val="00283DF6"/>
    <w:rsid w:val="00284D28"/>
    <w:rsid w:val="00284DB7"/>
    <w:rsid w:val="0028543E"/>
    <w:rsid w:val="00285655"/>
    <w:rsid w:val="00286EFA"/>
    <w:rsid w:val="00286F8F"/>
    <w:rsid w:val="00286FA6"/>
    <w:rsid w:val="00287861"/>
    <w:rsid w:val="002878E2"/>
    <w:rsid w:val="00287B4C"/>
    <w:rsid w:val="00290D6B"/>
    <w:rsid w:val="00290F27"/>
    <w:rsid w:val="00291F85"/>
    <w:rsid w:val="00292AE0"/>
    <w:rsid w:val="00292B82"/>
    <w:rsid w:val="002943B1"/>
    <w:rsid w:val="0029529B"/>
    <w:rsid w:val="00296577"/>
    <w:rsid w:val="002965C8"/>
    <w:rsid w:val="0029765C"/>
    <w:rsid w:val="002976A9"/>
    <w:rsid w:val="00297ABA"/>
    <w:rsid w:val="002A06C2"/>
    <w:rsid w:val="002A1A66"/>
    <w:rsid w:val="002A1B58"/>
    <w:rsid w:val="002A1BC7"/>
    <w:rsid w:val="002A3F53"/>
    <w:rsid w:val="002A4724"/>
    <w:rsid w:val="002A5C61"/>
    <w:rsid w:val="002A6820"/>
    <w:rsid w:val="002A7398"/>
    <w:rsid w:val="002B0B6B"/>
    <w:rsid w:val="002B1CAC"/>
    <w:rsid w:val="002B1EB3"/>
    <w:rsid w:val="002B3D33"/>
    <w:rsid w:val="002B3E1C"/>
    <w:rsid w:val="002B4017"/>
    <w:rsid w:val="002B4C3C"/>
    <w:rsid w:val="002B53B0"/>
    <w:rsid w:val="002B5829"/>
    <w:rsid w:val="002B5935"/>
    <w:rsid w:val="002B6873"/>
    <w:rsid w:val="002B7900"/>
    <w:rsid w:val="002B79F7"/>
    <w:rsid w:val="002B7D2F"/>
    <w:rsid w:val="002B7EE3"/>
    <w:rsid w:val="002C01F9"/>
    <w:rsid w:val="002C08A0"/>
    <w:rsid w:val="002C2356"/>
    <w:rsid w:val="002C3925"/>
    <w:rsid w:val="002C3A62"/>
    <w:rsid w:val="002C43ED"/>
    <w:rsid w:val="002C4E86"/>
    <w:rsid w:val="002C5731"/>
    <w:rsid w:val="002D1A55"/>
    <w:rsid w:val="002D531B"/>
    <w:rsid w:val="002D5FC5"/>
    <w:rsid w:val="002D6E3D"/>
    <w:rsid w:val="002D7718"/>
    <w:rsid w:val="002D7F77"/>
    <w:rsid w:val="002E0D59"/>
    <w:rsid w:val="002E1410"/>
    <w:rsid w:val="002E17B0"/>
    <w:rsid w:val="002E1EE7"/>
    <w:rsid w:val="002E3EAE"/>
    <w:rsid w:val="002E3F02"/>
    <w:rsid w:val="002E42FF"/>
    <w:rsid w:val="002E43CD"/>
    <w:rsid w:val="002E5BE2"/>
    <w:rsid w:val="002E6F84"/>
    <w:rsid w:val="002E76CB"/>
    <w:rsid w:val="002F06B5"/>
    <w:rsid w:val="002F0ED6"/>
    <w:rsid w:val="002F0F23"/>
    <w:rsid w:val="002F1231"/>
    <w:rsid w:val="002F2419"/>
    <w:rsid w:val="002F300F"/>
    <w:rsid w:val="002F4729"/>
    <w:rsid w:val="002F5987"/>
    <w:rsid w:val="002F620D"/>
    <w:rsid w:val="002F6CA1"/>
    <w:rsid w:val="002F7AD7"/>
    <w:rsid w:val="00302BE9"/>
    <w:rsid w:val="00303EDC"/>
    <w:rsid w:val="00303FDD"/>
    <w:rsid w:val="00304721"/>
    <w:rsid w:val="00306339"/>
    <w:rsid w:val="0030769B"/>
    <w:rsid w:val="0030773B"/>
    <w:rsid w:val="003103BC"/>
    <w:rsid w:val="00311EC7"/>
    <w:rsid w:val="00312EE6"/>
    <w:rsid w:val="003139D0"/>
    <w:rsid w:val="00314592"/>
    <w:rsid w:val="003154EA"/>
    <w:rsid w:val="0031605F"/>
    <w:rsid w:val="00320919"/>
    <w:rsid w:val="00320C35"/>
    <w:rsid w:val="00321619"/>
    <w:rsid w:val="003229CD"/>
    <w:rsid w:val="00322FCC"/>
    <w:rsid w:val="003243F5"/>
    <w:rsid w:val="003246B8"/>
    <w:rsid w:val="003258EE"/>
    <w:rsid w:val="0032631C"/>
    <w:rsid w:val="003263A1"/>
    <w:rsid w:val="00326E1D"/>
    <w:rsid w:val="003275DE"/>
    <w:rsid w:val="00327A42"/>
    <w:rsid w:val="00327C6E"/>
    <w:rsid w:val="0033002E"/>
    <w:rsid w:val="00330F64"/>
    <w:rsid w:val="00331408"/>
    <w:rsid w:val="00331D20"/>
    <w:rsid w:val="00332DCB"/>
    <w:rsid w:val="00333439"/>
    <w:rsid w:val="00335182"/>
    <w:rsid w:val="00336D9C"/>
    <w:rsid w:val="00336E6B"/>
    <w:rsid w:val="0033739B"/>
    <w:rsid w:val="0033796A"/>
    <w:rsid w:val="003403C8"/>
    <w:rsid w:val="0034060B"/>
    <w:rsid w:val="0034215F"/>
    <w:rsid w:val="003423C6"/>
    <w:rsid w:val="0034305F"/>
    <w:rsid w:val="00345397"/>
    <w:rsid w:val="003457D9"/>
    <w:rsid w:val="0034608A"/>
    <w:rsid w:val="00347187"/>
    <w:rsid w:val="0034761F"/>
    <w:rsid w:val="003478E6"/>
    <w:rsid w:val="00350392"/>
    <w:rsid w:val="003508F2"/>
    <w:rsid w:val="00351443"/>
    <w:rsid w:val="003527C8"/>
    <w:rsid w:val="00352F0E"/>
    <w:rsid w:val="00352F19"/>
    <w:rsid w:val="00354EE8"/>
    <w:rsid w:val="00354FF4"/>
    <w:rsid w:val="003553EF"/>
    <w:rsid w:val="003561BC"/>
    <w:rsid w:val="00356787"/>
    <w:rsid w:val="003569F4"/>
    <w:rsid w:val="00357A13"/>
    <w:rsid w:val="00357B74"/>
    <w:rsid w:val="003605AB"/>
    <w:rsid w:val="00361191"/>
    <w:rsid w:val="00362928"/>
    <w:rsid w:val="003634BE"/>
    <w:rsid w:val="00365290"/>
    <w:rsid w:val="0036685D"/>
    <w:rsid w:val="003719B6"/>
    <w:rsid w:val="00371A16"/>
    <w:rsid w:val="00372C49"/>
    <w:rsid w:val="003742C6"/>
    <w:rsid w:val="00375139"/>
    <w:rsid w:val="003767F1"/>
    <w:rsid w:val="00377804"/>
    <w:rsid w:val="00377889"/>
    <w:rsid w:val="00380BD3"/>
    <w:rsid w:val="0038135B"/>
    <w:rsid w:val="003816D9"/>
    <w:rsid w:val="00382A43"/>
    <w:rsid w:val="00382CDF"/>
    <w:rsid w:val="00384081"/>
    <w:rsid w:val="00384CEE"/>
    <w:rsid w:val="00385976"/>
    <w:rsid w:val="00386F7E"/>
    <w:rsid w:val="00387442"/>
    <w:rsid w:val="0039046C"/>
    <w:rsid w:val="0039065E"/>
    <w:rsid w:val="00390E72"/>
    <w:rsid w:val="00391737"/>
    <w:rsid w:val="00391929"/>
    <w:rsid w:val="0039426C"/>
    <w:rsid w:val="00394835"/>
    <w:rsid w:val="00394B07"/>
    <w:rsid w:val="003966C0"/>
    <w:rsid w:val="0039774D"/>
    <w:rsid w:val="003A0235"/>
    <w:rsid w:val="003A06F2"/>
    <w:rsid w:val="003A1D4A"/>
    <w:rsid w:val="003A1DA2"/>
    <w:rsid w:val="003A2D9D"/>
    <w:rsid w:val="003A344D"/>
    <w:rsid w:val="003A3F62"/>
    <w:rsid w:val="003A4056"/>
    <w:rsid w:val="003A43BC"/>
    <w:rsid w:val="003A466C"/>
    <w:rsid w:val="003A5D7A"/>
    <w:rsid w:val="003A62A9"/>
    <w:rsid w:val="003A6F86"/>
    <w:rsid w:val="003B08EE"/>
    <w:rsid w:val="003B0F35"/>
    <w:rsid w:val="003B1408"/>
    <w:rsid w:val="003B2A92"/>
    <w:rsid w:val="003B33F3"/>
    <w:rsid w:val="003B5370"/>
    <w:rsid w:val="003B5A3F"/>
    <w:rsid w:val="003B5F3C"/>
    <w:rsid w:val="003B793B"/>
    <w:rsid w:val="003B7C39"/>
    <w:rsid w:val="003C1563"/>
    <w:rsid w:val="003C2001"/>
    <w:rsid w:val="003C2EA7"/>
    <w:rsid w:val="003C35F5"/>
    <w:rsid w:val="003C3DB1"/>
    <w:rsid w:val="003C4280"/>
    <w:rsid w:val="003C485C"/>
    <w:rsid w:val="003C4921"/>
    <w:rsid w:val="003C5B94"/>
    <w:rsid w:val="003C5D8B"/>
    <w:rsid w:val="003C65F5"/>
    <w:rsid w:val="003C776E"/>
    <w:rsid w:val="003C77E6"/>
    <w:rsid w:val="003C7BA8"/>
    <w:rsid w:val="003C7D91"/>
    <w:rsid w:val="003D0415"/>
    <w:rsid w:val="003D1755"/>
    <w:rsid w:val="003D2125"/>
    <w:rsid w:val="003D274E"/>
    <w:rsid w:val="003D2A62"/>
    <w:rsid w:val="003D2CA4"/>
    <w:rsid w:val="003D3358"/>
    <w:rsid w:val="003D50EE"/>
    <w:rsid w:val="003D5118"/>
    <w:rsid w:val="003D6C9D"/>
    <w:rsid w:val="003E1547"/>
    <w:rsid w:val="003E24F3"/>
    <w:rsid w:val="003E257E"/>
    <w:rsid w:val="003E25E8"/>
    <w:rsid w:val="003E2C34"/>
    <w:rsid w:val="003E3F62"/>
    <w:rsid w:val="003E4221"/>
    <w:rsid w:val="003E482E"/>
    <w:rsid w:val="003E4D13"/>
    <w:rsid w:val="003E5BB6"/>
    <w:rsid w:val="003E62FC"/>
    <w:rsid w:val="003E63AB"/>
    <w:rsid w:val="003E6FD7"/>
    <w:rsid w:val="003E7CD8"/>
    <w:rsid w:val="003F037C"/>
    <w:rsid w:val="003F05F9"/>
    <w:rsid w:val="003F24B7"/>
    <w:rsid w:val="003F3763"/>
    <w:rsid w:val="003F3D87"/>
    <w:rsid w:val="003F512F"/>
    <w:rsid w:val="003F5B3A"/>
    <w:rsid w:val="003F75B9"/>
    <w:rsid w:val="003F7F64"/>
    <w:rsid w:val="004000C8"/>
    <w:rsid w:val="00400F84"/>
    <w:rsid w:val="00403260"/>
    <w:rsid w:val="00404D00"/>
    <w:rsid w:val="00405CC6"/>
    <w:rsid w:val="00406B57"/>
    <w:rsid w:val="00406C03"/>
    <w:rsid w:val="00407810"/>
    <w:rsid w:val="00410046"/>
    <w:rsid w:val="0041064A"/>
    <w:rsid w:val="00411C0C"/>
    <w:rsid w:val="004123C1"/>
    <w:rsid w:val="00413248"/>
    <w:rsid w:val="004134D7"/>
    <w:rsid w:val="0041384D"/>
    <w:rsid w:val="0041391F"/>
    <w:rsid w:val="00413DBA"/>
    <w:rsid w:val="00416304"/>
    <w:rsid w:val="00416881"/>
    <w:rsid w:val="00416977"/>
    <w:rsid w:val="00416C72"/>
    <w:rsid w:val="0041792B"/>
    <w:rsid w:val="0042030A"/>
    <w:rsid w:val="004204AE"/>
    <w:rsid w:val="00420BAD"/>
    <w:rsid w:val="00421EE4"/>
    <w:rsid w:val="004229E2"/>
    <w:rsid w:val="00423E5A"/>
    <w:rsid w:val="0042463B"/>
    <w:rsid w:val="00424B12"/>
    <w:rsid w:val="004255E0"/>
    <w:rsid w:val="00425DB8"/>
    <w:rsid w:val="00426541"/>
    <w:rsid w:val="00426D0D"/>
    <w:rsid w:val="00427A98"/>
    <w:rsid w:val="00427D1A"/>
    <w:rsid w:val="004317A8"/>
    <w:rsid w:val="004319D7"/>
    <w:rsid w:val="00431E1F"/>
    <w:rsid w:val="00434B5A"/>
    <w:rsid w:val="004356A4"/>
    <w:rsid w:val="00436034"/>
    <w:rsid w:val="0044122E"/>
    <w:rsid w:val="00441A58"/>
    <w:rsid w:val="00441DDE"/>
    <w:rsid w:val="00442F17"/>
    <w:rsid w:val="00445053"/>
    <w:rsid w:val="004462D9"/>
    <w:rsid w:val="0044684A"/>
    <w:rsid w:val="004479B9"/>
    <w:rsid w:val="00447D91"/>
    <w:rsid w:val="004505F9"/>
    <w:rsid w:val="00451438"/>
    <w:rsid w:val="004521D0"/>
    <w:rsid w:val="00452C92"/>
    <w:rsid w:val="004536B3"/>
    <w:rsid w:val="00454C0F"/>
    <w:rsid w:val="0046035C"/>
    <w:rsid w:val="004612D0"/>
    <w:rsid w:val="00461EA2"/>
    <w:rsid w:val="00462915"/>
    <w:rsid w:val="004631B1"/>
    <w:rsid w:val="0046380B"/>
    <w:rsid w:val="00464EE0"/>
    <w:rsid w:val="004673BF"/>
    <w:rsid w:val="00467C16"/>
    <w:rsid w:val="00470509"/>
    <w:rsid w:val="004718F2"/>
    <w:rsid w:val="00471EE2"/>
    <w:rsid w:val="0047268E"/>
    <w:rsid w:val="00474697"/>
    <w:rsid w:val="00474B38"/>
    <w:rsid w:val="0047536C"/>
    <w:rsid w:val="00476011"/>
    <w:rsid w:val="004765BF"/>
    <w:rsid w:val="00476FCC"/>
    <w:rsid w:val="00480204"/>
    <w:rsid w:val="00481184"/>
    <w:rsid w:val="004814A9"/>
    <w:rsid w:val="00483261"/>
    <w:rsid w:val="00484C71"/>
    <w:rsid w:val="004850E4"/>
    <w:rsid w:val="004911E7"/>
    <w:rsid w:val="00491279"/>
    <w:rsid w:val="00491E33"/>
    <w:rsid w:val="00495005"/>
    <w:rsid w:val="00496AED"/>
    <w:rsid w:val="0049727B"/>
    <w:rsid w:val="004972CE"/>
    <w:rsid w:val="004A02A0"/>
    <w:rsid w:val="004A10BD"/>
    <w:rsid w:val="004A1A91"/>
    <w:rsid w:val="004A1B24"/>
    <w:rsid w:val="004A2140"/>
    <w:rsid w:val="004A26B5"/>
    <w:rsid w:val="004A3A90"/>
    <w:rsid w:val="004A4E0D"/>
    <w:rsid w:val="004A62D2"/>
    <w:rsid w:val="004A7AE2"/>
    <w:rsid w:val="004B0D7B"/>
    <w:rsid w:val="004B1C15"/>
    <w:rsid w:val="004B1E1A"/>
    <w:rsid w:val="004B22AE"/>
    <w:rsid w:val="004B23B4"/>
    <w:rsid w:val="004B2E3E"/>
    <w:rsid w:val="004B5A15"/>
    <w:rsid w:val="004B65ED"/>
    <w:rsid w:val="004C0E52"/>
    <w:rsid w:val="004C18A9"/>
    <w:rsid w:val="004C3F26"/>
    <w:rsid w:val="004C3F5B"/>
    <w:rsid w:val="004C4495"/>
    <w:rsid w:val="004C4711"/>
    <w:rsid w:val="004C4DD1"/>
    <w:rsid w:val="004C539D"/>
    <w:rsid w:val="004C6CDC"/>
    <w:rsid w:val="004C7731"/>
    <w:rsid w:val="004D00C0"/>
    <w:rsid w:val="004D0348"/>
    <w:rsid w:val="004D08FC"/>
    <w:rsid w:val="004D1192"/>
    <w:rsid w:val="004D136A"/>
    <w:rsid w:val="004D2814"/>
    <w:rsid w:val="004D2C0C"/>
    <w:rsid w:val="004D2E4E"/>
    <w:rsid w:val="004D363B"/>
    <w:rsid w:val="004D5896"/>
    <w:rsid w:val="004D60AF"/>
    <w:rsid w:val="004D6D2D"/>
    <w:rsid w:val="004D6D71"/>
    <w:rsid w:val="004D74B3"/>
    <w:rsid w:val="004D74E0"/>
    <w:rsid w:val="004E0069"/>
    <w:rsid w:val="004E00B8"/>
    <w:rsid w:val="004E5BAA"/>
    <w:rsid w:val="004E5C1C"/>
    <w:rsid w:val="004E6483"/>
    <w:rsid w:val="004E733A"/>
    <w:rsid w:val="004E7E90"/>
    <w:rsid w:val="004F01F8"/>
    <w:rsid w:val="004F02E7"/>
    <w:rsid w:val="004F0CC7"/>
    <w:rsid w:val="004F2103"/>
    <w:rsid w:val="004F2A91"/>
    <w:rsid w:val="004F3C17"/>
    <w:rsid w:val="004F4778"/>
    <w:rsid w:val="004F65FC"/>
    <w:rsid w:val="004F7CCE"/>
    <w:rsid w:val="00500AA6"/>
    <w:rsid w:val="00500C59"/>
    <w:rsid w:val="00501CB9"/>
    <w:rsid w:val="0050233F"/>
    <w:rsid w:val="005025B1"/>
    <w:rsid w:val="00502B3D"/>
    <w:rsid w:val="00503A5E"/>
    <w:rsid w:val="00503DB2"/>
    <w:rsid w:val="00504A88"/>
    <w:rsid w:val="00505014"/>
    <w:rsid w:val="00505186"/>
    <w:rsid w:val="00510260"/>
    <w:rsid w:val="00513308"/>
    <w:rsid w:val="005135CA"/>
    <w:rsid w:val="00514402"/>
    <w:rsid w:val="00514593"/>
    <w:rsid w:val="00514613"/>
    <w:rsid w:val="00515121"/>
    <w:rsid w:val="005151F3"/>
    <w:rsid w:val="00515E53"/>
    <w:rsid w:val="00515FBD"/>
    <w:rsid w:val="0051614B"/>
    <w:rsid w:val="00516A15"/>
    <w:rsid w:val="0052086C"/>
    <w:rsid w:val="00520A49"/>
    <w:rsid w:val="005214EF"/>
    <w:rsid w:val="00522751"/>
    <w:rsid w:val="0052377B"/>
    <w:rsid w:val="00524650"/>
    <w:rsid w:val="00524956"/>
    <w:rsid w:val="00525DF9"/>
    <w:rsid w:val="005266C1"/>
    <w:rsid w:val="00527194"/>
    <w:rsid w:val="00530901"/>
    <w:rsid w:val="00531C9E"/>
    <w:rsid w:val="005327D6"/>
    <w:rsid w:val="00533B3C"/>
    <w:rsid w:val="0053620E"/>
    <w:rsid w:val="005424BD"/>
    <w:rsid w:val="00542783"/>
    <w:rsid w:val="005429E0"/>
    <w:rsid w:val="00542EB6"/>
    <w:rsid w:val="00543926"/>
    <w:rsid w:val="005508DC"/>
    <w:rsid w:val="005510CE"/>
    <w:rsid w:val="005517FF"/>
    <w:rsid w:val="00551CF0"/>
    <w:rsid w:val="00552D2F"/>
    <w:rsid w:val="00553BE7"/>
    <w:rsid w:val="00553E2D"/>
    <w:rsid w:val="005545F7"/>
    <w:rsid w:val="00554D8B"/>
    <w:rsid w:val="00555073"/>
    <w:rsid w:val="00556391"/>
    <w:rsid w:val="005571A9"/>
    <w:rsid w:val="0056011D"/>
    <w:rsid w:val="005602B1"/>
    <w:rsid w:val="00561CCC"/>
    <w:rsid w:val="00563313"/>
    <w:rsid w:val="005638E6"/>
    <w:rsid w:val="00565BA1"/>
    <w:rsid w:val="005665B7"/>
    <w:rsid w:val="00566861"/>
    <w:rsid w:val="00566AD7"/>
    <w:rsid w:val="005675E3"/>
    <w:rsid w:val="00570F3C"/>
    <w:rsid w:val="0057195D"/>
    <w:rsid w:val="005720B8"/>
    <w:rsid w:val="00572829"/>
    <w:rsid w:val="00572A40"/>
    <w:rsid w:val="005731AB"/>
    <w:rsid w:val="00573398"/>
    <w:rsid w:val="0057423C"/>
    <w:rsid w:val="00574552"/>
    <w:rsid w:val="00574FED"/>
    <w:rsid w:val="00575374"/>
    <w:rsid w:val="00575920"/>
    <w:rsid w:val="005767CB"/>
    <w:rsid w:val="00576E9A"/>
    <w:rsid w:val="00577B33"/>
    <w:rsid w:val="0058026C"/>
    <w:rsid w:val="005817B5"/>
    <w:rsid w:val="005820EC"/>
    <w:rsid w:val="00583197"/>
    <w:rsid w:val="00583892"/>
    <w:rsid w:val="00585051"/>
    <w:rsid w:val="005854A6"/>
    <w:rsid w:val="00586374"/>
    <w:rsid w:val="00586423"/>
    <w:rsid w:val="00586ACD"/>
    <w:rsid w:val="00586ED0"/>
    <w:rsid w:val="00586EFC"/>
    <w:rsid w:val="00586F2A"/>
    <w:rsid w:val="00587580"/>
    <w:rsid w:val="005905B4"/>
    <w:rsid w:val="0059060B"/>
    <w:rsid w:val="005920A0"/>
    <w:rsid w:val="00593015"/>
    <w:rsid w:val="00595300"/>
    <w:rsid w:val="005956F8"/>
    <w:rsid w:val="00595E20"/>
    <w:rsid w:val="0059620A"/>
    <w:rsid w:val="00596EB7"/>
    <w:rsid w:val="00597456"/>
    <w:rsid w:val="00597559"/>
    <w:rsid w:val="005975C3"/>
    <w:rsid w:val="005A0B44"/>
    <w:rsid w:val="005A1A9C"/>
    <w:rsid w:val="005A2417"/>
    <w:rsid w:val="005A2678"/>
    <w:rsid w:val="005A2E71"/>
    <w:rsid w:val="005A2FC1"/>
    <w:rsid w:val="005A2FC8"/>
    <w:rsid w:val="005A317D"/>
    <w:rsid w:val="005A4269"/>
    <w:rsid w:val="005A77C0"/>
    <w:rsid w:val="005A7C6D"/>
    <w:rsid w:val="005B27A9"/>
    <w:rsid w:val="005B4181"/>
    <w:rsid w:val="005B41CA"/>
    <w:rsid w:val="005B41F7"/>
    <w:rsid w:val="005B4244"/>
    <w:rsid w:val="005B64D9"/>
    <w:rsid w:val="005B763C"/>
    <w:rsid w:val="005C083C"/>
    <w:rsid w:val="005C0A2E"/>
    <w:rsid w:val="005C1B9D"/>
    <w:rsid w:val="005C3AD8"/>
    <w:rsid w:val="005C3B4E"/>
    <w:rsid w:val="005C3F6A"/>
    <w:rsid w:val="005C4CAA"/>
    <w:rsid w:val="005C58A8"/>
    <w:rsid w:val="005C6852"/>
    <w:rsid w:val="005C72B1"/>
    <w:rsid w:val="005C7A53"/>
    <w:rsid w:val="005D14B4"/>
    <w:rsid w:val="005D21FB"/>
    <w:rsid w:val="005D263F"/>
    <w:rsid w:val="005D2994"/>
    <w:rsid w:val="005D358A"/>
    <w:rsid w:val="005D4163"/>
    <w:rsid w:val="005D4E77"/>
    <w:rsid w:val="005D5AE2"/>
    <w:rsid w:val="005D5B7B"/>
    <w:rsid w:val="005D6F88"/>
    <w:rsid w:val="005D724F"/>
    <w:rsid w:val="005D7410"/>
    <w:rsid w:val="005E002A"/>
    <w:rsid w:val="005E0145"/>
    <w:rsid w:val="005E01CD"/>
    <w:rsid w:val="005E09E0"/>
    <w:rsid w:val="005E0A86"/>
    <w:rsid w:val="005E16C8"/>
    <w:rsid w:val="005E195A"/>
    <w:rsid w:val="005E1FFF"/>
    <w:rsid w:val="005E3704"/>
    <w:rsid w:val="005E3897"/>
    <w:rsid w:val="005E38EA"/>
    <w:rsid w:val="005E4E6D"/>
    <w:rsid w:val="005E5DE1"/>
    <w:rsid w:val="005E6550"/>
    <w:rsid w:val="005E76B4"/>
    <w:rsid w:val="005F03D0"/>
    <w:rsid w:val="005F0627"/>
    <w:rsid w:val="005F0779"/>
    <w:rsid w:val="005F1779"/>
    <w:rsid w:val="005F29AD"/>
    <w:rsid w:val="005F44F6"/>
    <w:rsid w:val="005F49AD"/>
    <w:rsid w:val="005F5949"/>
    <w:rsid w:val="005F6999"/>
    <w:rsid w:val="005F70E0"/>
    <w:rsid w:val="005F7ED7"/>
    <w:rsid w:val="005F7EE4"/>
    <w:rsid w:val="005F7EF6"/>
    <w:rsid w:val="00600391"/>
    <w:rsid w:val="00601528"/>
    <w:rsid w:val="006016F6"/>
    <w:rsid w:val="00601A23"/>
    <w:rsid w:val="00603C75"/>
    <w:rsid w:val="00604DF6"/>
    <w:rsid w:val="006053E3"/>
    <w:rsid w:val="00605A9D"/>
    <w:rsid w:val="00606037"/>
    <w:rsid w:val="006062B5"/>
    <w:rsid w:val="00606313"/>
    <w:rsid w:val="00606A29"/>
    <w:rsid w:val="00606A64"/>
    <w:rsid w:val="00606F00"/>
    <w:rsid w:val="00607B1D"/>
    <w:rsid w:val="00610196"/>
    <w:rsid w:val="00610696"/>
    <w:rsid w:val="00610810"/>
    <w:rsid w:val="0061084D"/>
    <w:rsid w:val="0061087F"/>
    <w:rsid w:val="00610F8F"/>
    <w:rsid w:val="00611BAE"/>
    <w:rsid w:val="006123F7"/>
    <w:rsid w:val="00613381"/>
    <w:rsid w:val="00613560"/>
    <w:rsid w:val="00613648"/>
    <w:rsid w:val="00613C64"/>
    <w:rsid w:val="0061506A"/>
    <w:rsid w:val="006166C8"/>
    <w:rsid w:val="0061680B"/>
    <w:rsid w:val="00616A19"/>
    <w:rsid w:val="006173EA"/>
    <w:rsid w:val="00617D4F"/>
    <w:rsid w:val="00620687"/>
    <w:rsid w:val="00621E92"/>
    <w:rsid w:val="00621F40"/>
    <w:rsid w:val="00623318"/>
    <w:rsid w:val="00623904"/>
    <w:rsid w:val="00623925"/>
    <w:rsid w:val="00623DE0"/>
    <w:rsid w:val="00624F51"/>
    <w:rsid w:val="006253E4"/>
    <w:rsid w:val="006317E5"/>
    <w:rsid w:val="00631CB8"/>
    <w:rsid w:val="00636103"/>
    <w:rsid w:val="0063709D"/>
    <w:rsid w:val="006374D6"/>
    <w:rsid w:val="00640303"/>
    <w:rsid w:val="00640524"/>
    <w:rsid w:val="00640B5E"/>
    <w:rsid w:val="006423B9"/>
    <w:rsid w:val="00643794"/>
    <w:rsid w:val="00643836"/>
    <w:rsid w:val="0064563B"/>
    <w:rsid w:val="00645741"/>
    <w:rsid w:val="00645DF3"/>
    <w:rsid w:val="00646488"/>
    <w:rsid w:val="006468BE"/>
    <w:rsid w:val="0064707A"/>
    <w:rsid w:val="00647FD8"/>
    <w:rsid w:val="00650238"/>
    <w:rsid w:val="00650DEA"/>
    <w:rsid w:val="00650E1C"/>
    <w:rsid w:val="00651BD6"/>
    <w:rsid w:val="0065268C"/>
    <w:rsid w:val="00654BAC"/>
    <w:rsid w:val="00656604"/>
    <w:rsid w:val="0065731C"/>
    <w:rsid w:val="00657978"/>
    <w:rsid w:val="00660639"/>
    <w:rsid w:val="00660F7B"/>
    <w:rsid w:val="00660FE7"/>
    <w:rsid w:val="00661CD6"/>
    <w:rsid w:val="00662B52"/>
    <w:rsid w:val="00662F3D"/>
    <w:rsid w:val="00662F99"/>
    <w:rsid w:val="00663C53"/>
    <w:rsid w:val="00664C0E"/>
    <w:rsid w:val="00665059"/>
    <w:rsid w:val="00665623"/>
    <w:rsid w:val="00665DFF"/>
    <w:rsid w:val="00665E0A"/>
    <w:rsid w:val="00667EA1"/>
    <w:rsid w:val="00671696"/>
    <w:rsid w:val="00672A43"/>
    <w:rsid w:val="00672C10"/>
    <w:rsid w:val="00673A6C"/>
    <w:rsid w:val="00673EF0"/>
    <w:rsid w:val="00674071"/>
    <w:rsid w:val="00674930"/>
    <w:rsid w:val="00674C6C"/>
    <w:rsid w:val="00676C85"/>
    <w:rsid w:val="0068026E"/>
    <w:rsid w:val="00680CBF"/>
    <w:rsid w:val="006822E1"/>
    <w:rsid w:val="006823D7"/>
    <w:rsid w:val="006827D7"/>
    <w:rsid w:val="0068280F"/>
    <w:rsid w:val="00684368"/>
    <w:rsid w:val="00684607"/>
    <w:rsid w:val="0068469A"/>
    <w:rsid w:val="00685BBB"/>
    <w:rsid w:val="00685D8F"/>
    <w:rsid w:val="00685F8D"/>
    <w:rsid w:val="00686B27"/>
    <w:rsid w:val="00686E7E"/>
    <w:rsid w:val="00687973"/>
    <w:rsid w:val="0069288E"/>
    <w:rsid w:val="00693429"/>
    <w:rsid w:val="00693F23"/>
    <w:rsid w:val="00697698"/>
    <w:rsid w:val="006A0242"/>
    <w:rsid w:val="006A1ABD"/>
    <w:rsid w:val="006A209E"/>
    <w:rsid w:val="006A3C8A"/>
    <w:rsid w:val="006A5E9A"/>
    <w:rsid w:val="006A5F10"/>
    <w:rsid w:val="006A6573"/>
    <w:rsid w:val="006A6B10"/>
    <w:rsid w:val="006A74B5"/>
    <w:rsid w:val="006A756E"/>
    <w:rsid w:val="006B037D"/>
    <w:rsid w:val="006B04E3"/>
    <w:rsid w:val="006B08D1"/>
    <w:rsid w:val="006B19A1"/>
    <w:rsid w:val="006B1A6C"/>
    <w:rsid w:val="006B2FB7"/>
    <w:rsid w:val="006B30D2"/>
    <w:rsid w:val="006B4908"/>
    <w:rsid w:val="006B55AB"/>
    <w:rsid w:val="006C1C17"/>
    <w:rsid w:val="006C212D"/>
    <w:rsid w:val="006C2258"/>
    <w:rsid w:val="006C455D"/>
    <w:rsid w:val="006C45BA"/>
    <w:rsid w:val="006C4E6D"/>
    <w:rsid w:val="006C672F"/>
    <w:rsid w:val="006C688F"/>
    <w:rsid w:val="006C75CB"/>
    <w:rsid w:val="006C76FE"/>
    <w:rsid w:val="006C7963"/>
    <w:rsid w:val="006D036E"/>
    <w:rsid w:val="006D05DA"/>
    <w:rsid w:val="006D0D8E"/>
    <w:rsid w:val="006D24D3"/>
    <w:rsid w:val="006D3063"/>
    <w:rsid w:val="006D3192"/>
    <w:rsid w:val="006D5B6A"/>
    <w:rsid w:val="006D6291"/>
    <w:rsid w:val="006D62F1"/>
    <w:rsid w:val="006D6715"/>
    <w:rsid w:val="006D6777"/>
    <w:rsid w:val="006D7C7A"/>
    <w:rsid w:val="006E07CD"/>
    <w:rsid w:val="006E11DB"/>
    <w:rsid w:val="006E28FB"/>
    <w:rsid w:val="006E3291"/>
    <w:rsid w:val="006E3471"/>
    <w:rsid w:val="006E3A6B"/>
    <w:rsid w:val="006E3B72"/>
    <w:rsid w:val="006E3F6F"/>
    <w:rsid w:val="006E5544"/>
    <w:rsid w:val="006F130E"/>
    <w:rsid w:val="006F1590"/>
    <w:rsid w:val="006F1A5C"/>
    <w:rsid w:val="006F23B4"/>
    <w:rsid w:val="006F36B1"/>
    <w:rsid w:val="006F3912"/>
    <w:rsid w:val="006F39CD"/>
    <w:rsid w:val="006F42F6"/>
    <w:rsid w:val="00701332"/>
    <w:rsid w:val="00704552"/>
    <w:rsid w:val="007060CC"/>
    <w:rsid w:val="00706C12"/>
    <w:rsid w:val="00707A6B"/>
    <w:rsid w:val="00707E75"/>
    <w:rsid w:val="0071012B"/>
    <w:rsid w:val="00710DA5"/>
    <w:rsid w:val="0071127D"/>
    <w:rsid w:val="0071258A"/>
    <w:rsid w:val="00712F86"/>
    <w:rsid w:val="00714870"/>
    <w:rsid w:val="00714B3A"/>
    <w:rsid w:val="00715922"/>
    <w:rsid w:val="00715DCC"/>
    <w:rsid w:val="00717A0D"/>
    <w:rsid w:val="0072030B"/>
    <w:rsid w:val="00720472"/>
    <w:rsid w:val="00721268"/>
    <w:rsid w:val="0072149C"/>
    <w:rsid w:val="00722744"/>
    <w:rsid w:val="00722CED"/>
    <w:rsid w:val="0072315F"/>
    <w:rsid w:val="007244D6"/>
    <w:rsid w:val="007254D0"/>
    <w:rsid w:val="007257E6"/>
    <w:rsid w:val="00726E4B"/>
    <w:rsid w:val="00727106"/>
    <w:rsid w:val="0072764C"/>
    <w:rsid w:val="00727696"/>
    <w:rsid w:val="00727B2D"/>
    <w:rsid w:val="00734690"/>
    <w:rsid w:val="007349F6"/>
    <w:rsid w:val="00736293"/>
    <w:rsid w:val="00736668"/>
    <w:rsid w:val="00736C5B"/>
    <w:rsid w:val="007376CE"/>
    <w:rsid w:val="00737CB7"/>
    <w:rsid w:val="007400C0"/>
    <w:rsid w:val="007407D5"/>
    <w:rsid w:val="00740A3E"/>
    <w:rsid w:val="00742F56"/>
    <w:rsid w:val="0074301D"/>
    <w:rsid w:val="00744C78"/>
    <w:rsid w:val="00744F7B"/>
    <w:rsid w:val="00745786"/>
    <w:rsid w:val="00745D85"/>
    <w:rsid w:val="00746607"/>
    <w:rsid w:val="00747D54"/>
    <w:rsid w:val="00752071"/>
    <w:rsid w:val="007525F4"/>
    <w:rsid w:val="00752A6F"/>
    <w:rsid w:val="00753EC2"/>
    <w:rsid w:val="007545FF"/>
    <w:rsid w:val="00754EBE"/>
    <w:rsid w:val="007558DC"/>
    <w:rsid w:val="00756243"/>
    <w:rsid w:val="007567F1"/>
    <w:rsid w:val="007575B0"/>
    <w:rsid w:val="00757EB2"/>
    <w:rsid w:val="00757EF9"/>
    <w:rsid w:val="00760791"/>
    <w:rsid w:val="00760BA9"/>
    <w:rsid w:val="00760F82"/>
    <w:rsid w:val="00761550"/>
    <w:rsid w:val="00761D66"/>
    <w:rsid w:val="0076347E"/>
    <w:rsid w:val="007643FB"/>
    <w:rsid w:val="0076491A"/>
    <w:rsid w:val="00764FA8"/>
    <w:rsid w:val="00765533"/>
    <w:rsid w:val="007661DA"/>
    <w:rsid w:val="0076724A"/>
    <w:rsid w:val="007678F9"/>
    <w:rsid w:val="007702E4"/>
    <w:rsid w:val="007734E3"/>
    <w:rsid w:val="00774304"/>
    <w:rsid w:val="00775DD7"/>
    <w:rsid w:val="00780EE0"/>
    <w:rsid w:val="007816F8"/>
    <w:rsid w:val="007824E7"/>
    <w:rsid w:val="00785708"/>
    <w:rsid w:val="00785AAC"/>
    <w:rsid w:val="00786D50"/>
    <w:rsid w:val="007913F8"/>
    <w:rsid w:val="0079151C"/>
    <w:rsid w:val="00791DA2"/>
    <w:rsid w:val="00792DD6"/>
    <w:rsid w:val="00793A29"/>
    <w:rsid w:val="00793CFF"/>
    <w:rsid w:val="00794096"/>
    <w:rsid w:val="00797585"/>
    <w:rsid w:val="007975AF"/>
    <w:rsid w:val="00797A40"/>
    <w:rsid w:val="007A036D"/>
    <w:rsid w:val="007A0B2D"/>
    <w:rsid w:val="007A1887"/>
    <w:rsid w:val="007A1F5C"/>
    <w:rsid w:val="007A21A1"/>
    <w:rsid w:val="007A307A"/>
    <w:rsid w:val="007A43E9"/>
    <w:rsid w:val="007A48E5"/>
    <w:rsid w:val="007A4FCD"/>
    <w:rsid w:val="007A5FE2"/>
    <w:rsid w:val="007A6253"/>
    <w:rsid w:val="007A64D8"/>
    <w:rsid w:val="007A7387"/>
    <w:rsid w:val="007B0CEC"/>
    <w:rsid w:val="007B2484"/>
    <w:rsid w:val="007B2496"/>
    <w:rsid w:val="007B32DE"/>
    <w:rsid w:val="007B3BFF"/>
    <w:rsid w:val="007B589D"/>
    <w:rsid w:val="007B58B0"/>
    <w:rsid w:val="007B7DB8"/>
    <w:rsid w:val="007B7DCF"/>
    <w:rsid w:val="007C3511"/>
    <w:rsid w:val="007C3851"/>
    <w:rsid w:val="007C3B78"/>
    <w:rsid w:val="007C4ADB"/>
    <w:rsid w:val="007C4C4D"/>
    <w:rsid w:val="007C4D56"/>
    <w:rsid w:val="007C587C"/>
    <w:rsid w:val="007C6505"/>
    <w:rsid w:val="007C779D"/>
    <w:rsid w:val="007C7FDA"/>
    <w:rsid w:val="007D26E9"/>
    <w:rsid w:val="007D3207"/>
    <w:rsid w:val="007D4E86"/>
    <w:rsid w:val="007D50FA"/>
    <w:rsid w:val="007D5B40"/>
    <w:rsid w:val="007D7FBB"/>
    <w:rsid w:val="007E17F7"/>
    <w:rsid w:val="007E2E08"/>
    <w:rsid w:val="007E3CAF"/>
    <w:rsid w:val="007E3E1A"/>
    <w:rsid w:val="007E4BFC"/>
    <w:rsid w:val="007E6191"/>
    <w:rsid w:val="007E6E59"/>
    <w:rsid w:val="007E738F"/>
    <w:rsid w:val="007F03ED"/>
    <w:rsid w:val="007F07C4"/>
    <w:rsid w:val="007F0BE4"/>
    <w:rsid w:val="007F15D2"/>
    <w:rsid w:val="007F15FC"/>
    <w:rsid w:val="007F1F3D"/>
    <w:rsid w:val="007F388D"/>
    <w:rsid w:val="007F3A93"/>
    <w:rsid w:val="007F4FC9"/>
    <w:rsid w:val="007F54AE"/>
    <w:rsid w:val="007F6460"/>
    <w:rsid w:val="007F6F1A"/>
    <w:rsid w:val="007F7945"/>
    <w:rsid w:val="007F7C4E"/>
    <w:rsid w:val="007F7CC8"/>
    <w:rsid w:val="008001E6"/>
    <w:rsid w:val="00800980"/>
    <w:rsid w:val="00800FE1"/>
    <w:rsid w:val="008016CD"/>
    <w:rsid w:val="00801951"/>
    <w:rsid w:val="008032EE"/>
    <w:rsid w:val="008033F4"/>
    <w:rsid w:val="00803F18"/>
    <w:rsid w:val="008047FE"/>
    <w:rsid w:val="00805198"/>
    <w:rsid w:val="00805397"/>
    <w:rsid w:val="00806738"/>
    <w:rsid w:val="00807BC2"/>
    <w:rsid w:val="00807C82"/>
    <w:rsid w:val="008115F6"/>
    <w:rsid w:val="00811DBE"/>
    <w:rsid w:val="008149C0"/>
    <w:rsid w:val="00816ECB"/>
    <w:rsid w:val="00820930"/>
    <w:rsid w:val="00821537"/>
    <w:rsid w:val="00821860"/>
    <w:rsid w:val="00822B83"/>
    <w:rsid w:val="008230E5"/>
    <w:rsid w:val="00826703"/>
    <w:rsid w:val="008277CB"/>
    <w:rsid w:val="00827E3B"/>
    <w:rsid w:val="00830403"/>
    <w:rsid w:val="00831A92"/>
    <w:rsid w:val="00832AE8"/>
    <w:rsid w:val="00832B1A"/>
    <w:rsid w:val="00833ED7"/>
    <w:rsid w:val="008350CB"/>
    <w:rsid w:val="00835494"/>
    <w:rsid w:val="00835F14"/>
    <w:rsid w:val="008369C9"/>
    <w:rsid w:val="00836BB9"/>
    <w:rsid w:val="0083751D"/>
    <w:rsid w:val="00837EED"/>
    <w:rsid w:val="008404E8"/>
    <w:rsid w:val="008404FB"/>
    <w:rsid w:val="00840D8F"/>
    <w:rsid w:val="00840E7D"/>
    <w:rsid w:val="00842FB5"/>
    <w:rsid w:val="00843350"/>
    <w:rsid w:val="00843902"/>
    <w:rsid w:val="00843DDC"/>
    <w:rsid w:val="0084496F"/>
    <w:rsid w:val="008457FF"/>
    <w:rsid w:val="00846532"/>
    <w:rsid w:val="00854481"/>
    <w:rsid w:val="008544DD"/>
    <w:rsid w:val="00854C41"/>
    <w:rsid w:val="00855297"/>
    <w:rsid w:val="008555AA"/>
    <w:rsid w:val="00860103"/>
    <w:rsid w:val="00862C91"/>
    <w:rsid w:val="00863953"/>
    <w:rsid w:val="00864270"/>
    <w:rsid w:val="00866F44"/>
    <w:rsid w:val="00870007"/>
    <w:rsid w:val="00870AD4"/>
    <w:rsid w:val="0087183A"/>
    <w:rsid w:val="0087198F"/>
    <w:rsid w:val="00872D22"/>
    <w:rsid w:val="00873258"/>
    <w:rsid w:val="00875DB2"/>
    <w:rsid w:val="0087670A"/>
    <w:rsid w:val="00876AAC"/>
    <w:rsid w:val="00877850"/>
    <w:rsid w:val="00877B69"/>
    <w:rsid w:val="008810B9"/>
    <w:rsid w:val="008815F6"/>
    <w:rsid w:val="00881A06"/>
    <w:rsid w:val="008825FF"/>
    <w:rsid w:val="00882BBA"/>
    <w:rsid w:val="008857FC"/>
    <w:rsid w:val="0088688C"/>
    <w:rsid w:val="00886BB5"/>
    <w:rsid w:val="00887E43"/>
    <w:rsid w:val="00891C0C"/>
    <w:rsid w:val="00891D43"/>
    <w:rsid w:val="008927D9"/>
    <w:rsid w:val="00892C52"/>
    <w:rsid w:val="00893138"/>
    <w:rsid w:val="0089342E"/>
    <w:rsid w:val="0089370C"/>
    <w:rsid w:val="0089378D"/>
    <w:rsid w:val="00893BBB"/>
    <w:rsid w:val="00893DCE"/>
    <w:rsid w:val="00893FAD"/>
    <w:rsid w:val="00895932"/>
    <w:rsid w:val="0089599E"/>
    <w:rsid w:val="00896E0A"/>
    <w:rsid w:val="00897AAE"/>
    <w:rsid w:val="008A0BCD"/>
    <w:rsid w:val="008A0FAA"/>
    <w:rsid w:val="008A1FBA"/>
    <w:rsid w:val="008A2755"/>
    <w:rsid w:val="008A33DF"/>
    <w:rsid w:val="008A3BAC"/>
    <w:rsid w:val="008A3C51"/>
    <w:rsid w:val="008A3D50"/>
    <w:rsid w:val="008A435C"/>
    <w:rsid w:val="008A4BED"/>
    <w:rsid w:val="008A4F1A"/>
    <w:rsid w:val="008A5038"/>
    <w:rsid w:val="008A527D"/>
    <w:rsid w:val="008A53BD"/>
    <w:rsid w:val="008A54EA"/>
    <w:rsid w:val="008A56C7"/>
    <w:rsid w:val="008A6878"/>
    <w:rsid w:val="008A7E36"/>
    <w:rsid w:val="008B0583"/>
    <w:rsid w:val="008B0890"/>
    <w:rsid w:val="008B113D"/>
    <w:rsid w:val="008B114B"/>
    <w:rsid w:val="008B1DD5"/>
    <w:rsid w:val="008B1E3C"/>
    <w:rsid w:val="008B226B"/>
    <w:rsid w:val="008B438D"/>
    <w:rsid w:val="008B45B0"/>
    <w:rsid w:val="008B4695"/>
    <w:rsid w:val="008B5D8C"/>
    <w:rsid w:val="008B64C9"/>
    <w:rsid w:val="008B686F"/>
    <w:rsid w:val="008B6E2D"/>
    <w:rsid w:val="008B72FB"/>
    <w:rsid w:val="008B7476"/>
    <w:rsid w:val="008B7D10"/>
    <w:rsid w:val="008C19BB"/>
    <w:rsid w:val="008C1E1B"/>
    <w:rsid w:val="008C283F"/>
    <w:rsid w:val="008C30A4"/>
    <w:rsid w:val="008C4355"/>
    <w:rsid w:val="008C4E44"/>
    <w:rsid w:val="008C4F77"/>
    <w:rsid w:val="008C5535"/>
    <w:rsid w:val="008C6C41"/>
    <w:rsid w:val="008C74B8"/>
    <w:rsid w:val="008C7BB2"/>
    <w:rsid w:val="008D1763"/>
    <w:rsid w:val="008D221D"/>
    <w:rsid w:val="008D26BF"/>
    <w:rsid w:val="008D279E"/>
    <w:rsid w:val="008D3198"/>
    <w:rsid w:val="008D3301"/>
    <w:rsid w:val="008D3441"/>
    <w:rsid w:val="008D4500"/>
    <w:rsid w:val="008D50A6"/>
    <w:rsid w:val="008D5A33"/>
    <w:rsid w:val="008D5C13"/>
    <w:rsid w:val="008D6402"/>
    <w:rsid w:val="008D7FBE"/>
    <w:rsid w:val="008E014A"/>
    <w:rsid w:val="008E0A60"/>
    <w:rsid w:val="008E0A98"/>
    <w:rsid w:val="008E0F4D"/>
    <w:rsid w:val="008E2514"/>
    <w:rsid w:val="008E25AF"/>
    <w:rsid w:val="008E3B00"/>
    <w:rsid w:val="008E4BC6"/>
    <w:rsid w:val="008E500D"/>
    <w:rsid w:val="008E5E26"/>
    <w:rsid w:val="008E6B8F"/>
    <w:rsid w:val="008E7774"/>
    <w:rsid w:val="008E7A22"/>
    <w:rsid w:val="008F0770"/>
    <w:rsid w:val="008F0FE7"/>
    <w:rsid w:val="008F0FFA"/>
    <w:rsid w:val="008F1D5D"/>
    <w:rsid w:val="008F1DBD"/>
    <w:rsid w:val="008F3317"/>
    <w:rsid w:val="008F399E"/>
    <w:rsid w:val="008F4639"/>
    <w:rsid w:val="008F528E"/>
    <w:rsid w:val="008F62A2"/>
    <w:rsid w:val="008F663E"/>
    <w:rsid w:val="008F7A18"/>
    <w:rsid w:val="00900F6C"/>
    <w:rsid w:val="00901380"/>
    <w:rsid w:val="009018D8"/>
    <w:rsid w:val="00902EE7"/>
    <w:rsid w:val="00904DEA"/>
    <w:rsid w:val="00906988"/>
    <w:rsid w:val="0091138F"/>
    <w:rsid w:val="00911630"/>
    <w:rsid w:val="00912E22"/>
    <w:rsid w:val="00912F2D"/>
    <w:rsid w:val="0091368C"/>
    <w:rsid w:val="00913D2B"/>
    <w:rsid w:val="00913E00"/>
    <w:rsid w:val="0091400A"/>
    <w:rsid w:val="0091470F"/>
    <w:rsid w:val="009153BF"/>
    <w:rsid w:val="009154FE"/>
    <w:rsid w:val="00916DA7"/>
    <w:rsid w:val="0091721C"/>
    <w:rsid w:val="00920633"/>
    <w:rsid w:val="009211B9"/>
    <w:rsid w:val="00921A17"/>
    <w:rsid w:val="00922178"/>
    <w:rsid w:val="0092260F"/>
    <w:rsid w:val="00922760"/>
    <w:rsid w:val="00922B8F"/>
    <w:rsid w:val="009244E7"/>
    <w:rsid w:val="00926097"/>
    <w:rsid w:val="00926462"/>
    <w:rsid w:val="00926D78"/>
    <w:rsid w:val="0092766A"/>
    <w:rsid w:val="0093010E"/>
    <w:rsid w:val="009303FB"/>
    <w:rsid w:val="0093075E"/>
    <w:rsid w:val="00931898"/>
    <w:rsid w:val="009326CA"/>
    <w:rsid w:val="00933A5C"/>
    <w:rsid w:val="00934596"/>
    <w:rsid w:val="0093486D"/>
    <w:rsid w:val="00935670"/>
    <w:rsid w:val="00935846"/>
    <w:rsid w:val="0093639E"/>
    <w:rsid w:val="009409A5"/>
    <w:rsid w:val="00940B9E"/>
    <w:rsid w:val="009419FC"/>
    <w:rsid w:val="009424F3"/>
    <w:rsid w:val="00943B80"/>
    <w:rsid w:val="00950EF9"/>
    <w:rsid w:val="009521B1"/>
    <w:rsid w:val="009546C1"/>
    <w:rsid w:val="00955A20"/>
    <w:rsid w:val="00956DBC"/>
    <w:rsid w:val="00957A93"/>
    <w:rsid w:val="0096225D"/>
    <w:rsid w:val="009623DD"/>
    <w:rsid w:val="0096240F"/>
    <w:rsid w:val="0096393B"/>
    <w:rsid w:val="00963C54"/>
    <w:rsid w:val="009667E6"/>
    <w:rsid w:val="00966E66"/>
    <w:rsid w:val="009673E3"/>
    <w:rsid w:val="00970947"/>
    <w:rsid w:val="00970E1B"/>
    <w:rsid w:val="0097109F"/>
    <w:rsid w:val="00971A53"/>
    <w:rsid w:val="0097243A"/>
    <w:rsid w:val="0097295D"/>
    <w:rsid w:val="009731EB"/>
    <w:rsid w:val="009734F9"/>
    <w:rsid w:val="00973A0F"/>
    <w:rsid w:val="00974660"/>
    <w:rsid w:val="009747C3"/>
    <w:rsid w:val="0097541D"/>
    <w:rsid w:val="00975924"/>
    <w:rsid w:val="00975F38"/>
    <w:rsid w:val="009770BA"/>
    <w:rsid w:val="00980433"/>
    <w:rsid w:val="00980958"/>
    <w:rsid w:val="00981F17"/>
    <w:rsid w:val="00982D52"/>
    <w:rsid w:val="009832AA"/>
    <w:rsid w:val="009847A4"/>
    <w:rsid w:val="0098487B"/>
    <w:rsid w:val="0098511A"/>
    <w:rsid w:val="0098533D"/>
    <w:rsid w:val="00986435"/>
    <w:rsid w:val="00990CA5"/>
    <w:rsid w:val="00990DED"/>
    <w:rsid w:val="0099160D"/>
    <w:rsid w:val="00991D01"/>
    <w:rsid w:val="00992849"/>
    <w:rsid w:val="00993260"/>
    <w:rsid w:val="009960CE"/>
    <w:rsid w:val="00996205"/>
    <w:rsid w:val="0099712E"/>
    <w:rsid w:val="009A00C7"/>
    <w:rsid w:val="009A0132"/>
    <w:rsid w:val="009A018C"/>
    <w:rsid w:val="009A02EC"/>
    <w:rsid w:val="009A0548"/>
    <w:rsid w:val="009A082F"/>
    <w:rsid w:val="009A10B8"/>
    <w:rsid w:val="009A1E16"/>
    <w:rsid w:val="009A21DE"/>
    <w:rsid w:val="009A222B"/>
    <w:rsid w:val="009A2C67"/>
    <w:rsid w:val="009A3DBF"/>
    <w:rsid w:val="009A4753"/>
    <w:rsid w:val="009A5781"/>
    <w:rsid w:val="009A7490"/>
    <w:rsid w:val="009B0642"/>
    <w:rsid w:val="009B3E1B"/>
    <w:rsid w:val="009B4E5E"/>
    <w:rsid w:val="009B628C"/>
    <w:rsid w:val="009B690D"/>
    <w:rsid w:val="009B6DBD"/>
    <w:rsid w:val="009B6EF8"/>
    <w:rsid w:val="009B6F1F"/>
    <w:rsid w:val="009B77D8"/>
    <w:rsid w:val="009B79B0"/>
    <w:rsid w:val="009B7D9F"/>
    <w:rsid w:val="009C14C5"/>
    <w:rsid w:val="009C1AAF"/>
    <w:rsid w:val="009C1D3F"/>
    <w:rsid w:val="009C2382"/>
    <w:rsid w:val="009C3381"/>
    <w:rsid w:val="009C4E90"/>
    <w:rsid w:val="009C50A2"/>
    <w:rsid w:val="009C6142"/>
    <w:rsid w:val="009C61A4"/>
    <w:rsid w:val="009C6625"/>
    <w:rsid w:val="009C6FE9"/>
    <w:rsid w:val="009C7B73"/>
    <w:rsid w:val="009D024B"/>
    <w:rsid w:val="009D2057"/>
    <w:rsid w:val="009D366F"/>
    <w:rsid w:val="009D38FD"/>
    <w:rsid w:val="009D3A7A"/>
    <w:rsid w:val="009D3E37"/>
    <w:rsid w:val="009D780F"/>
    <w:rsid w:val="009E26F0"/>
    <w:rsid w:val="009E284A"/>
    <w:rsid w:val="009E361C"/>
    <w:rsid w:val="009E4D94"/>
    <w:rsid w:val="009E5753"/>
    <w:rsid w:val="009E6CD5"/>
    <w:rsid w:val="009E6EBC"/>
    <w:rsid w:val="009E7044"/>
    <w:rsid w:val="009E7B2F"/>
    <w:rsid w:val="009F0007"/>
    <w:rsid w:val="009F15DD"/>
    <w:rsid w:val="009F27ED"/>
    <w:rsid w:val="009F4E95"/>
    <w:rsid w:val="009F663D"/>
    <w:rsid w:val="009F67E3"/>
    <w:rsid w:val="009F6951"/>
    <w:rsid w:val="009F6C4F"/>
    <w:rsid w:val="009F729A"/>
    <w:rsid w:val="00A00D99"/>
    <w:rsid w:val="00A013EB"/>
    <w:rsid w:val="00A02C1B"/>
    <w:rsid w:val="00A02FB6"/>
    <w:rsid w:val="00A03259"/>
    <w:rsid w:val="00A03462"/>
    <w:rsid w:val="00A036C9"/>
    <w:rsid w:val="00A05AE2"/>
    <w:rsid w:val="00A05CBB"/>
    <w:rsid w:val="00A07DFC"/>
    <w:rsid w:val="00A118F2"/>
    <w:rsid w:val="00A11F97"/>
    <w:rsid w:val="00A12B1A"/>
    <w:rsid w:val="00A12C9D"/>
    <w:rsid w:val="00A14AB3"/>
    <w:rsid w:val="00A14D8F"/>
    <w:rsid w:val="00A150FD"/>
    <w:rsid w:val="00A15326"/>
    <w:rsid w:val="00A15B7C"/>
    <w:rsid w:val="00A166FB"/>
    <w:rsid w:val="00A16BA7"/>
    <w:rsid w:val="00A1775F"/>
    <w:rsid w:val="00A21E9A"/>
    <w:rsid w:val="00A221B9"/>
    <w:rsid w:val="00A22FB7"/>
    <w:rsid w:val="00A235F8"/>
    <w:rsid w:val="00A238DB"/>
    <w:rsid w:val="00A24159"/>
    <w:rsid w:val="00A25BEB"/>
    <w:rsid w:val="00A27479"/>
    <w:rsid w:val="00A306B2"/>
    <w:rsid w:val="00A30AE0"/>
    <w:rsid w:val="00A31437"/>
    <w:rsid w:val="00A3165D"/>
    <w:rsid w:val="00A325B6"/>
    <w:rsid w:val="00A328A1"/>
    <w:rsid w:val="00A3370D"/>
    <w:rsid w:val="00A33A1B"/>
    <w:rsid w:val="00A34D11"/>
    <w:rsid w:val="00A359A0"/>
    <w:rsid w:val="00A36A8C"/>
    <w:rsid w:val="00A37113"/>
    <w:rsid w:val="00A37139"/>
    <w:rsid w:val="00A3781D"/>
    <w:rsid w:val="00A37EC5"/>
    <w:rsid w:val="00A4084C"/>
    <w:rsid w:val="00A41586"/>
    <w:rsid w:val="00A41A1B"/>
    <w:rsid w:val="00A43EC7"/>
    <w:rsid w:val="00A445F9"/>
    <w:rsid w:val="00A44C6A"/>
    <w:rsid w:val="00A44FA4"/>
    <w:rsid w:val="00A45D84"/>
    <w:rsid w:val="00A4632F"/>
    <w:rsid w:val="00A467CB"/>
    <w:rsid w:val="00A46AB4"/>
    <w:rsid w:val="00A47E8E"/>
    <w:rsid w:val="00A50691"/>
    <w:rsid w:val="00A509A7"/>
    <w:rsid w:val="00A5152A"/>
    <w:rsid w:val="00A5194B"/>
    <w:rsid w:val="00A51F83"/>
    <w:rsid w:val="00A52460"/>
    <w:rsid w:val="00A5246C"/>
    <w:rsid w:val="00A52E17"/>
    <w:rsid w:val="00A53857"/>
    <w:rsid w:val="00A54D2E"/>
    <w:rsid w:val="00A55BB1"/>
    <w:rsid w:val="00A56033"/>
    <w:rsid w:val="00A57C8D"/>
    <w:rsid w:val="00A6047C"/>
    <w:rsid w:val="00A60B60"/>
    <w:rsid w:val="00A60E64"/>
    <w:rsid w:val="00A60F57"/>
    <w:rsid w:val="00A6168C"/>
    <w:rsid w:val="00A61842"/>
    <w:rsid w:val="00A6287F"/>
    <w:rsid w:val="00A62E97"/>
    <w:rsid w:val="00A65D7C"/>
    <w:rsid w:val="00A65F88"/>
    <w:rsid w:val="00A66F14"/>
    <w:rsid w:val="00A674A6"/>
    <w:rsid w:val="00A707A7"/>
    <w:rsid w:val="00A71B6D"/>
    <w:rsid w:val="00A7257F"/>
    <w:rsid w:val="00A743B8"/>
    <w:rsid w:val="00A746D0"/>
    <w:rsid w:val="00A74880"/>
    <w:rsid w:val="00A75502"/>
    <w:rsid w:val="00A76750"/>
    <w:rsid w:val="00A778E0"/>
    <w:rsid w:val="00A80B71"/>
    <w:rsid w:val="00A81FCE"/>
    <w:rsid w:val="00A826BB"/>
    <w:rsid w:val="00A82E20"/>
    <w:rsid w:val="00A84726"/>
    <w:rsid w:val="00A85171"/>
    <w:rsid w:val="00A85506"/>
    <w:rsid w:val="00A8575E"/>
    <w:rsid w:val="00A8613D"/>
    <w:rsid w:val="00A86461"/>
    <w:rsid w:val="00A916E4"/>
    <w:rsid w:val="00A91C49"/>
    <w:rsid w:val="00A92020"/>
    <w:rsid w:val="00A92BEF"/>
    <w:rsid w:val="00A93038"/>
    <w:rsid w:val="00A93682"/>
    <w:rsid w:val="00A94FD2"/>
    <w:rsid w:val="00A96641"/>
    <w:rsid w:val="00A96B1A"/>
    <w:rsid w:val="00AA12A7"/>
    <w:rsid w:val="00AA17AA"/>
    <w:rsid w:val="00AA2005"/>
    <w:rsid w:val="00AA2A05"/>
    <w:rsid w:val="00AA3F18"/>
    <w:rsid w:val="00AA4740"/>
    <w:rsid w:val="00AA57D3"/>
    <w:rsid w:val="00AA7B3D"/>
    <w:rsid w:val="00AB1BB0"/>
    <w:rsid w:val="00AB3330"/>
    <w:rsid w:val="00AB422B"/>
    <w:rsid w:val="00AB57D4"/>
    <w:rsid w:val="00AB5837"/>
    <w:rsid w:val="00AB6128"/>
    <w:rsid w:val="00AB6C87"/>
    <w:rsid w:val="00AB7501"/>
    <w:rsid w:val="00AC2831"/>
    <w:rsid w:val="00AC3DBF"/>
    <w:rsid w:val="00AC3F57"/>
    <w:rsid w:val="00AC5F4C"/>
    <w:rsid w:val="00AC6284"/>
    <w:rsid w:val="00AC636E"/>
    <w:rsid w:val="00AD0543"/>
    <w:rsid w:val="00AD0BFE"/>
    <w:rsid w:val="00AD16F9"/>
    <w:rsid w:val="00AD2C3F"/>
    <w:rsid w:val="00AD2EB1"/>
    <w:rsid w:val="00AD30E7"/>
    <w:rsid w:val="00AD5C56"/>
    <w:rsid w:val="00AD628B"/>
    <w:rsid w:val="00AD64E7"/>
    <w:rsid w:val="00AD6846"/>
    <w:rsid w:val="00AD752B"/>
    <w:rsid w:val="00AD78F3"/>
    <w:rsid w:val="00AE1748"/>
    <w:rsid w:val="00AE18E6"/>
    <w:rsid w:val="00AE1B7D"/>
    <w:rsid w:val="00AE2CD7"/>
    <w:rsid w:val="00AE30AB"/>
    <w:rsid w:val="00AE52B3"/>
    <w:rsid w:val="00AE5820"/>
    <w:rsid w:val="00AE5AD5"/>
    <w:rsid w:val="00AE60B3"/>
    <w:rsid w:val="00AE61A2"/>
    <w:rsid w:val="00AE75A4"/>
    <w:rsid w:val="00AE7EEE"/>
    <w:rsid w:val="00AF0714"/>
    <w:rsid w:val="00AF085D"/>
    <w:rsid w:val="00AF190D"/>
    <w:rsid w:val="00AF4442"/>
    <w:rsid w:val="00AF486E"/>
    <w:rsid w:val="00AF58B5"/>
    <w:rsid w:val="00AF6D63"/>
    <w:rsid w:val="00AF7320"/>
    <w:rsid w:val="00AF79DE"/>
    <w:rsid w:val="00AF7EF7"/>
    <w:rsid w:val="00B01343"/>
    <w:rsid w:val="00B01E01"/>
    <w:rsid w:val="00B02983"/>
    <w:rsid w:val="00B02ACE"/>
    <w:rsid w:val="00B02C0F"/>
    <w:rsid w:val="00B04614"/>
    <w:rsid w:val="00B05078"/>
    <w:rsid w:val="00B0517E"/>
    <w:rsid w:val="00B05BD3"/>
    <w:rsid w:val="00B10092"/>
    <w:rsid w:val="00B11A50"/>
    <w:rsid w:val="00B129E6"/>
    <w:rsid w:val="00B12CF8"/>
    <w:rsid w:val="00B13C6B"/>
    <w:rsid w:val="00B13D97"/>
    <w:rsid w:val="00B14648"/>
    <w:rsid w:val="00B151F7"/>
    <w:rsid w:val="00B1667B"/>
    <w:rsid w:val="00B16996"/>
    <w:rsid w:val="00B16FFD"/>
    <w:rsid w:val="00B17736"/>
    <w:rsid w:val="00B17855"/>
    <w:rsid w:val="00B20CF8"/>
    <w:rsid w:val="00B20D53"/>
    <w:rsid w:val="00B20D75"/>
    <w:rsid w:val="00B21464"/>
    <w:rsid w:val="00B22B1A"/>
    <w:rsid w:val="00B23BD0"/>
    <w:rsid w:val="00B23DE7"/>
    <w:rsid w:val="00B244BE"/>
    <w:rsid w:val="00B24898"/>
    <w:rsid w:val="00B24D6B"/>
    <w:rsid w:val="00B2500D"/>
    <w:rsid w:val="00B25D84"/>
    <w:rsid w:val="00B30394"/>
    <w:rsid w:val="00B30BAD"/>
    <w:rsid w:val="00B312E8"/>
    <w:rsid w:val="00B324C5"/>
    <w:rsid w:val="00B3370D"/>
    <w:rsid w:val="00B3378F"/>
    <w:rsid w:val="00B33A4B"/>
    <w:rsid w:val="00B33B2A"/>
    <w:rsid w:val="00B36769"/>
    <w:rsid w:val="00B4070C"/>
    <w:rsid w:val="00B414A9"/>
    <w:rsid w:val="00B43A32"/>
    <w:rsid w:val="00B449DB"/>
    <w:rsid w:val="00B44C0D"/>
    <w:rsid w:val="00B44F89"/>
    <w:rsid w:val="00B4529F"/>
    <w:rsid w:val="00B45511"/>
    <w:rsid w:val="00B46512"/>
    <w:rsid w:val="00B4766D"/>
    <w:rsid w:val="00B47C02"/>
    <w:rsid w:val="00B5152E"/>
    <w:rsid w:val="00B518E3"/>
    <w:rsid w:val="00B521DF"/>
    <w:rsid w:val="00B5223D"/>
    <w:rsid w:val="00B53268"/>
    <w:rsid w:val="00B54B48"/>
    <w:rsid w:val="00B56E08"/>
    <w:rsid w:val="00B576F7"/>
    <w:rsid w:val="00B57FD5"/>
    <w:rsid w:val="00B614D8"/>
    <w:rsid w:val="00B628A1"/>
    <w:rsid w:val="00B62B6B"/>
    <w:rsid w:val="00B63390"/>
    <w:rsid w:val="00B63D55"/>
    <w:rsid w:val="00B65EBB"/>
    <w:rsid w:val="00B66291"/>
    <w:rsid w:val="00B66DA3"/>
    <w:rsid w:val="00B66EE8"/>
    <w:rsid w:val="00B66EEB"/>
    <w:rsid w:val="00B671DC"/>
    <w:rsid w:val="00B67348"/>
    <w:rsid w:val="00B700BA"/>
    <w:rsid w:val="00B7088A"/>
    <w:rsid w:val="00B70897"/>
    <w:rsid w:val="00B71E2D"/>
    <w:rsid w:val="00B73D86"/>
    <w:rsid w:val="00B74308"/>
    <w:rsid w:val="00B76057"/>
    <w:rsid w:val="00B7716A"/>
    <w:rsid w:val="00B77353"/>
    <w:rsid w:val="00B77CAB"/>
    <w:rsid w:val="00B80324"/>
    <w:rsid w:val="00B80441"/>
    <w:rsid w:val="00B817DB"/>
    <w:rsid w:val="00B85F83"/>
    <w:rsid w:val="00B874ED"/>
    <w:rsid w:val="00B9047D"/>
    <w:rsid w:val="00B90C45"/>
    <w:rsid w:val="00B911F1"/>
    <w:rsid w:val="00B9154A"/>
    <w:rsid w:val="00B92D9E"/>
    <w:rsid w:val="00B932AB"/>
    <w:rsid w:val="00B932CF"/>
    <w:rsid w:val="00B94441"/>
    <w:rsid w:val="00B951A5"/>
    <w:rsid w:val="00BA00E3"/>
    <w:rsid w:val="00BA035A"/>
    <w:rsid w:val="00BA17FF"/>
    <w:rsid w:val="00BA2FA3"/>
    <w:rsid w:val="00BA3F62"/>
    <w:rsid w:val="00BA46E0"/>
    <w:rsid w:val="00BA4B9F"/>
    <w:rsid w:val="00BA547A"/>
    <w:rsid w:val="00BA64CA"/>
    <w:rsid w:val="00BA6C00"/>
    <w:rsid w:val="00BA7F63"/>
    <w:rsid w:val="00BB0CA4"/>
    <w:rsid w:val="00BB1CBD"/>
    <w:rsid w:val="00BB1EEB"/>
    <w:rsid w:val="00BB3B74"/>
    <w:rsid w:val="00BB4068"/>
    <w:rsid w:val="00BB42EA"/>
    <w:rsid w:val="00BB54D4"/>
    <w:rsid w:val="00BB54D5"/>
    <w:rsid w:val="00BB6A77"/>
    <w:rsid w:val="00BB782A"/>
    <w:rsid w:val="00BC075A"/>
    <w:rsid w:val="00BC0E3F"/>
    <w:rsid w:val="00BC2778"/>
    <w:rsid w:val="00BC47CD"/>
    <w:rsid w:val="00BC53EE"/>
    <w:rsid w:val="00BC7D2D"/>
    <w:rsid w:val="00BD03F6"/>
    <w:rsid w:val="00BD1296"/>
    <w:rsid w:val="00BD14B1"/>
    <w:rsid w:val="00BD2BD0"/>
    <w:rsid w:val="00BD434E"/>
    <w:rsid w:val="00BD4B7E"/>
    <w:rsid w:val="00BD4E13"/>
    <w:rsid w:val="00BD5493"/>
    <w:rsid w:val="00BD5964"/>
    <w:rsid w:val="00BD5998"/>
    <w:rsid w:val="00BD5ADB"/>
    <w:rsid w:val="00BD6060"/>
    <w:rsid w:val="00BD7C0A"/>
    <w:rsid w:val="00BE082F"/>
    <w:rsid w:val="00BE1822"/>
    <w:rsid w:val="00BE2126"/>
    <w:rsid w:val="00BE2132"/>
    <w:rsid w:val="00BE3014"/>
    <w:rsid w:val="00BE3748"/>
    <w:rsid w:val="00BE620F"/>
    <w:rsid w:val="00BE6F4C"/>
    <w:rsid w:val="00BF210D"/>
    <w:rsid w:val="00BF27E2"/>
    <w:rsid w:val="00BF3A1C"/>
    <w:rsid w:val="00BF4D00"/>
    <w:rsid w:val="00BF523B"/>
    <w:rsid w:val="00BF67C4"/>
    <w:rsid w:val="00BF6C17"/>
    <w:rsid w:val="00BF6C3F"/>
    <w:rsid w:val="00C016C4"/>
    <w:rsid w:val="00C01D66"/>
    <w:rsid w:val="00C02252"/>
    <w:rsid w:val="00C026D0"/>
    <w:rsid w:val="00C0325C"/>
    <w:rsid w:val="00C032A4"/>
    <w:rsid w:val="00C03F57"/>
    <w:rsid w:val="00C0418B"/>
    <w:rsid w:val="00C0474B"/>
    <w:rsid w:val="00C04759"/>
    <w:rsid w:val="00C05618"/>
    <w:rsid w:val="00C114E1"/>
    <w:rsid w:val="00C11908"/>
    <w:rsid w:val="00C11D86"/>
    <w:rsid w:val="00C1297A"/>
    <w:rsid w:val="00C12E72"/>
    <w:rsid w:val="00C1326D"/>
    <w:rsid w:val="00C13FA9"/>
    <w:rsid w:val="00C16AAF"/>
    <w:rsid w:val="00C16C80"/>
    <w:rsid w:val="00C17608"/>
    <w:rsid w:val="00C21185"/>
    <w:rsid w:val="00C22478"/>
    <w:rsid w:val="00C22682"/>
    <w:rsid w:val="00C22770"/>
    <w:rsid w:val="00C233EE"/>
    <w:rsid w:val="00C238C1"/>
    <w:rsid w:val="00C23B76"/>
    <w:rsid w:val="00C24848"/>
    <w:rsid w:val="00C25069"/>
    <w:rsid w:val="00C25D4A"/>
    <w:rsid w:val="00C272F2"/>
    <w:rsid w:val="00C2799B"/>
    <w:rsid w:val="00C30AEB"/>
    <w:rsid w:val="00C30D57"/>
    <w:rsid w:val="00C30E49"/>
    <w:rsid w:val="00C31B99"/>
    <w:rsid w:val="00C32646"/>
    <w:rsid w:val="00C33584"/>
    <w:rsid w:val="00C33E0C"/>
    <w:rsid w:val="00C348B8"/>
    <w:rsid w:val="00C3490D"/>
    <w:rsid w:val="00C35190"/>
    <w:rsid w:val="00C35793"/>
    <w:rsid w:val="00C36A98"/>
    <w:rsid w:val="00C36FB2"/>
    <w:rsid w:val="00C3749D"/>
    <w:rsid w:val="00C37C79"/>
    <w:rsid w:val="00C4055D"/>
    <w:rsid w:val="00C407D2"/>
    <w:rsid w:val="00C4311B"/>
    <w:rsid w:val="00C439E3"/>
    <w:rsid w:val="00C465D9"/>
    <w:rsid w:val="00C46653"/>
    <w:rsid w:val="00C46C1F"/>
    <w:rsid w:val="00C46F52"/>
    <w:rsid w:val="00C472B6"/>
    <w:rsid w:val="00C47BC3"/>
    <w:rsid w:val="00C47C9B"/>
    <w:rsid w:val="00C50065"/>
    <w:rsid w:val="00C500BF"/>
    <w:rsid w:val="00C5047B"/>
    <w:rsid w:val="00C5058A"/>
    <w:rsid w:val="00C546F6"/>
    <w:rsid w:val="00C54FDF"/>
    <w:rsid w:val="00C55B98"/>
    <w:rsid w:val="00C55CB8"/>
    <w:rsid w:val="00C567C0"/>
    <w:rsid w:val="00C56DA9"/>
    <w:rsid w:val="00C56E95"/>
    <w:rsid w:val="00C57992"/>
    <w:rsid w:val="00C57F41"/>
    <w:rsid w:val="00C5EEB6"/>
    <w:rsid w:val="00C6039E"/>
    <w:rsid w:val="00C63407"/>
    <w:rsid w:val="00C640FC"/>
    <w:rsid w:val="00C64552"/>
    <w:rsid w:val="00C64949"/>
    <w:rsid w:val="00C65A2F"/>
    <w:rsid w:val="00C66069"/>
    <w:rsid w:val="00C66692"/>
    <w:rsid w:val="00C667A1"/>
    <w:rsid w:val="00C67A26"/>
    <w:rsid w:val="00C70F42"/>
    <w:rsid w:val="00C7196F"/>
    <w:rsid w:val="00C71EE2"/>
    <w:rsid w:val="00C72029"/>
    <w:rsid w:val="00C729E6"/>
    <w:rsid w:val="00C733D3"/>
    <w:rsid w:val="00C736DC"/>
    <w:rsid w:val="00C7439F"/>
    <w:rsid w:val="00C76B84"/>
    <w:rsid w:val="00C771F1"/>
    <w:rsid w:val="00C8041E"/>
    <w:rsid w:val="00C81893"/>
    <w:rsid w:val="00C81A14"/>
    <w:rsid w:val="00C81B10"/>
    <w:rsid w:val="00C872C8"/>
    <w:rsid w:val="00C87862"/>
    <w:rsid w:val="00C90726"/>
    <w:rsid w:val="00C90919"/>
    <w:rsid w:val="00C91AA7"/>
    <w:rsid w:val="00C921D4"/>
    <w:rsid w:val="00C92865"/>
    <w:rsid w:val="00C92F9A"/>
    <w:rsid w:val="00C97A41"/>
    <w:rsid w:val="00CA08FA"/>
    <w:rsid w:val="00CA09F1"/>
    <w:rsid w:val="00CA11B4"/>
    <w:rsid w:val="00CA144C"/>
    <w:rsid w:val="00CA23F3"/>
    <w:rsid w:val="00CA2CFF"/>
    <w:rsid w:val="00CA30A8"/>
    <w:rsid w:val="00CA3BF7"/>
    <w:rsid w:val="00CA3C43"/>
    <w:rsid w:val="00CA3DFB"/>
    <w:rsid w:val="00CB0088"/>
    <w:rsid w:val="00CB0387"/>
    <w:rsid w:val="00CB1424"/>
    <w:rsid w:val="00CB14F0"/>
    <w:rsid w:val="00CB3D6D"/>
    <w:rsid w:val="00CB57A2"/>
    <w:rsid w:val="00CB7CCF"/>
    <w:rsid w:val="00CC0EEA"/>
    <w:rsid w:val="00CC2629"/>
    <w:rsid w:val="00CC2DA7"/>
    <w:rsid w:val="00CC370F"/>
    <w:rsid w:val="00CC4D6D"/>
    <w:rsid w:val="00CC544A"/>
    <w:rsid w:val="00CC6090"/>
    <w:rsid w:val="00CD08A5"/>
    <w:rsid w:val="00CD1D3B"/>
    <w:rsid w:val="00CD1FC2"/>
    <w:rsid w:val="00CD334D"/>
    <w:rsid w:val="00CD36BF"/>
    <w:rsid w:val="00CD579B"/>
    <w:rsid w:val="00CD652E"/>
    <w:rsid w:val="00CD7CE3"/>
    <w:rsid w:val="00CE096B"/>
    <w:rsid w:val="00CE1BEC"/>
    <w:rsid w:val="00CE1CD4"/>
    <w:rsid w:val="00CE6A4F"/>
    <w:rsid w:val="00CE7069"/>
    <w:rsid w:val="00CE7213"/>
    <w:rsid w:val="00CE76CC"/>
    <w:rsid w:val="00CE787D"/>
    <w:rsid w:val="00CE799D"/>
    <w:rsid w:val="00CF0056"/>
    <w:rsid w:val="00CF1E2F"/>
    <w:rsid w:val="00CF255F"/>
    <w:rsid w:val="00CF26DA"/>
    <w:rsid w:val="00CF3671"/>
    <w:rsid w:val="00CF3C61"/>
    <w:rsid w:val="00CF5F7F"/>
    <w:rsid w:val="00CF6DA5"/>
    <w:rsid w:val="00CF6F79"/>
    <w:rsid w:val="00CF72B5"/>
    <w:rsid w:val="00CF72F2"/>
    <w:rsid w:val="00CF77F2"/>
    <w:rsid w:val="00D00974"/>
    <w:rsid w:val="00D00ED4"/>
    <w:rsid w:val="00D013CD"/>
    <w:rsid w:val="00D01C80"/>
    <w:rsid w:val="00D020EA"/>
    <w:rsid w:val="00D066F4"/>
    <w:rsid w:val="00D06B3F"/>
    <w:rsid w:val="00D07B75"/>
    <w:rsid w:val="00D105D4"/>
    <w:rsid w:val="00D1071A"/>
    <w:rsid w:val="00D14280"/>
    <w:rsid w:val="00D14379"/>
    <w:rsid w:val="00D143FC"/>
    <w:rsid w:val="00D1460A"/>
    <w:rsid w:val="00D15B2A"/>
    <w:rsid w:val="00D15E17"/>
    <w:rsid w:val="00D17A12"/>
    <w:rsid w:val="00D17E2B"/>
    <w:rsid w:val="00D213CD"/>
    <w:rsid w:val="00D214A8"/>
    <w:rsid w:val="00D21526"/>
    <w:rsid w:val="00D226DA"/>
    <w:rsid w:val="00D2299C"/>
    <w:rsid w:val="00D239C5"/>
    <w:rsid w:val="00D24085"/>
    <w:rsid w:val="00D25D06"/>
    <w:rsid w:val="00D25DBF"/>
    <w:rsid w:val="00D26B23"/>
    <w:rsid w:val="00D26E32"/>
    <w:rsid w:val="00D31090"/>
    <w:rsid w:val="00D31245"/>
    <w:rsid w:val="00D3146C"/>
    <w:rsid w:val="00D31A1B"/>
    <w:rsid w:val="00D326C8"/>
    <w:rsid w:val="00D32F95"/>
    <w:rsid w:val="00D331DD"/>
    <w:rsid w:val="00D348D4"/>
    <w:rsid w:val="00D34D44"/>
    <w:rsid w:val="00D3570A"/>
    <w:rsid w:val="00D35F3A"/>
    <w:rsid w:val="00D360C2"/>
    <w:rsid w:val="00D36124"/>
    <w:rsid w:val="00D36F91"/>
    <w:rsid w:val="00D37255"/>
    <w:rsid w:val="00D40090"/>
    <w:rsid w:val="00D4026F"/>
    <w:rsid w:val="00D405C2"/>
    <w:rsid w:val="00D416D5"/>
    <w:rsid w:val="00D4181A"/>
    <w:rsid w:val="00D42925"/>
    <w:rsid w:val="00D433DB"/>
    <w:rsid w:val="00D45B6E"/>
    <w:rsid w:val="00D4606E"/>
    <w:rsid w:val="00D4670E"/>
    <w:rsid w:val="00D479B0"/>
    <w:rsid w:val="00D47BCC"/>
    <w:rsid w:val="00D52562"/>
    <w:rsid w:val="00D52BF2"/>
    <w:rsid w:val="00D53516"/>
    <w:rsid w:val="00D539C7"/>
    <w:rsid w:val="00D539F5"/>
    <w:rsid w:val="00D53B22"/>
    <w:rsid w:val="00D53C9D"/>
    <w:rsid w:val="00D53CBF"/>
    <w:rsid w:val="00D55360"/>
    <w:rsid w:val="00D55AEF"/>
    <w:rsid w:val="00D55FC7"/>
    <w:rsid w:val="00D56CA3"/>
    <w:rsid w:val="00D57E2D"/>
    <w:rsid w:val="00D60011"/>
    <w:rsid w:val="00D60264"/>
    <w:rsid w:val="00D603C4"/>
    <w:rsid w:val="00D609D5"/>
    <w:rsid w:val="00D60A7E"/>
    <w:rsid w:val="00D61CA6"/>
    <w:rsid w:val="00D61ED8"/>
    <w:rsid w:val="00D61EE9"/>
    <w:rsid w:val="00D61F5A"/>
    <w:rsid w:val="00D62A40"/>
    <w:rsid w:val="00D63C20"/>
    <w:rsid w:val="00D63C25"/>
    <w:rsid w:val="00D64EB2"/>
    <w:rsid w:val="00D655C4"/>
    <w:rsid w:val="00D67255"/>
    <w:rsid w:val="00D70022"/>
    <w:rsid w:val="00D70A8C"/>
    <w:rsid w:val="00D735E5"/>
    <w:rsid w:val="00D7373E"/>
    <w:rsid w:val="00D73A91"/>
    <w:rsid w:val="00D73DDC"/>
    <w:rsid w:val="00D73DEB"/>
    <w:rsid w:val="00D7413D"/>
    <w:rsid w:val="00D742D4"/>
    <w:rsid w:val="00D747C7"/>
    <w:rsid w:val="00D747F8"/>
    <w:rsid w:val="00D74D5B"/>
    <w:rsid w:val="00D76579"/>
    <w:rsid w:val="00D76642"/>
    <w:rsid w:val="00D7700A"/>
    <w:rsid w:val="00D77202"/>
    <w:rsid w:val="00D776E4"/>
    <w:rsid w:val="00D8245D"/>
    <w:rsid w:val="00D826A6"/>
    <w:rsid w:val="00D82E1B"/>
    <w:rsid w:val="00D83140"/>
    <w:rsid w:val="00D84689"/>
    <w:rsid w:val="00D866A6"/>
    <w:rsid w:val="00D86BC1"/>
    <w:rsid w:val="00D87493"/>
    <w:rsid w:val="00D919AC"/>
    <w:rsid w:val="00D93A59"/>
    <w:rsid w:val="00D93CEF"/>
    <w:rsid w:val="00D944B9"/>
    <w:rsid w:val="00D94613"/>
    <w:rsid w:val="00D946E8"/>
    <w:rsid w:val="00D95402"/>
    <w:rsid w:val="00D95DE6"/>
    <w:rsid w:val="00DA00B8"/>
    <w:rsid w:val="00DA0CAD"/>
    <w:rsid w:val="00DA1B46"/>
    <w:rsid w:val="00DA263B"/>
    <w:rsid w:val="00DA31A0"/>
    <w:rsid w:val="00DA3EB1"/>
    <w:rsid w:val="00DA5914"/>
    <w:rsid w:val="00DA5954"/>
    <w:rsid w:val="00DA6A6C"/>
    <w:rsid w:val="00DA7B6A"/>
    <w:rsid w:val="00DB0996"/>
    <w:rsid w:val="00DB12A1"/>
    <w:rsid w:val="00DB144E"/>
    <w:rsid w:val="00DB18D6"/>
    <w:rsid w:val="00DB241C"/>
    <w:rsid w:val="00DB2817"/>
    <w:rsid w:val="00DB4362"/>
    <w:rsid w:val="00DB5040"/>
    <w:rsid w:val="00DB727E"/>
    <w:rsid w:val="00DC01DE"/>
    <w:rsid w:val="00DC0D7F"/>
    <w:rsid w:val="00DC0F13"/>
    <w:rsid w:val="00DC15B0"/>
    <w:rsid w:val="00DC1E58"/>
    <w:rsid w:val="00DC5A9B"/>
    <w:rsid w:val="00DC7A3E"/>
    <w:rsid w:val="00DC7BAC"/>
    <w:rsid w:val="00DC7F09"/>
    <w:rsid w:val="00DD00D8"/>
    <w:rsid w:val="00DD172F"/>
    <w:rsid w:val="00DD21C0"/>
    <w:rsid w:val="00DD21E2"/>
    <w:rsid w:val="00DD2684"/>
    <w:rsid w:val="00DD35DC"/>
    <w:rsid w:val="00DD3BAE"/>
    <w:rsid w:val="00DD4358"/>
    <w:rsid w:val="00DD7B77"/>
    <w:rsid w:val="00DE0B78"/>
    <w:rsid w:val="00DE0C13"/>
    <w:rsid w:val="00DE120F"/>
    <w:rsid w:val="00DE1A29"/>
    <w:rsid w:val="00DE1B31"/>
    <w:rsid w:val="00DE4165"/>
    <w:rsid w:val="00DE5D9B"/>
    <w:rsid w:val="00DE6BA2"/>
    <w:rsid w:val="00DE7103"/>
    <w:rsid w:val="00DF0330"/>
    <w:rsid w:val="00DF08C3"/>
    <w:rsid w:val="00DF239C"/>
    <w:rsid w:val="00DF2540"/>
    <w:rsid w:val="00DF2C9D"/>
    <w:rsid w:val="00DF41CA"/>
    <w:rsid w:val="00DF43BB"/>
    <w:rsid w:val="00DF5423"/>
    <w:rsid w:val="00DF5505"/>
    <w:rsid w:val="00DF5CE4"/>
    <w:rsid w:val="00DF5E1D"/>
    <w:rsid w:val="00DF644C"/>
    <w:rsid w:val="00DF6DA9"/>
    <w:rsid w:val="00DF6EE8"/>
    <w:rsid w:val="00DF7260"/>
    <w:rsid w:val="00DF72F3"/>
    <w:rsid w:val="00DF7A81"/>
    <w:rsid w:val="00E005E7"/>
    <w:rsid w:val="00E03071"/>
    <w:rsid w:val="00E03387"/>
    <w:rsid w:val="00E0412F"/>
    <w:rsid w:val="00E0543E"/>
    <w:rsid w:val="00E05D46"/>
    <w:rsid w:val="00E05D7E"/>
    <w:rsid w:val="00E0763C"/>
    <w:rsid w:val="00E12005"/>
    <w:rsid w:val="00E12CEA"/>
    <w:rsid w:val="00E12FDB"/>
    <w:rsid w:val="00E14A49"/>
    <w:rsid w:val="00E17EAD"/>
    <w:rsid w:val="00E17F0D"/>
    <w:rsid w:val="00E20FFC"/>
    <w:rsid w:val="00E2120A"/>
    <w:rsid w:val="00E225C1"/>
    <w:rsid w:val="00E23C76"/>
    <w:rsid w:val="00E23C93"/>
    <w:rsid w:val="00E24D36"/>
    <w:rsid w:val="00E26FC7"/>
    <w:rsid w:val="00E2726C"/>
    <w:rsid w:val="00E27CAF"/>
    <w:rsid w:val="00E30505"/>
    <w:rsid w:val="00E306A9"/>
    <w:rsid w:val="00E31180"/>
    <w:rsid w:val="00E31E69"/>
    <w:rsid w:val="00E32B72"/>
    <w:rsid w:val="00E33A7F"/>
    <w:rsid w:val="00E354CD"/>
    <w:rsid w:val="00E37124"/>
    <w:rsid w:val="00E3729D"/>
    <w:rsid w:val="00E3736E"/>
    <w:rsid w:val="00E40654"/>
    <w:rsid w:val="00E40747"/>
    <w:rsid w:val="00E40B84"/>
    <w:rsid w:val="00E41234"/>
    <w:rsid w:val="00E41486"/>
    <w:rsid w:val="00E41753"/>
    <w:rsid w:val="00E41B33"/>
    <w:rsid w:val="00E42584"/>
    <w:rsid w:val="00E4435B"/>
    <w:rsid w:val="00E4517A"/>
    <w:rsid w:val="00E45F09"/>
    <w:rsid w:val="00E4607E"/>
    <w:rsid w:val="00E505BE"/>
    <w:rsid w:val="00E5071F"/>
    <w:rsid w:val="00E50877"/>
    <w:rsid w:val="00E50A32"/>
    <w:rsid w:val="00E50A82"/>
    <w:rsid w:val="00E510AC"/>
    <w:rsid w:val="00E5418B"/>
    <w:rsid w:val="00E5420F"/>
    <w:rsid w:val="00E54AA9"/>
    <w:rsid w:val="00E555FA"/>
    <w:rsid w:val="00E55BA0"/>
    <w:rsid w:val="00E55D9C"/>
    <w:rsid w:val="00E55F32"/>
    <w:rsid w:val="00E565E2"/>
    <w:rsid w:val="00E57164"/>
    <w:rsid w:val="00E5726B"/>
    <w:rsid w:val="00E578A4"/>
    <w:rsid w:val="00E578D4"/>
    <w:rsid w:val="00E620D6"/>
    <w:rsid w:val="00E63A8C"/>
    <w:rsid w:val="00E64097"/>
    <w:rsid w:val="00E64540"/>
    <w:rsid w:val="00E66B28"/>
    <w:rsid w:val="00E67AE0"/>
    <w:rsid w:val="00E704A0"/>
    <w:rsid w:val="00E70CA3"/>
    <w:rsid w:val="00E71230"/>
    <w:rsid w:val="00E71F07"/>
    <w:rsid w:val="00E71FD7"/>
    <w:rsid w:val="00E72320"/>
    <w:rsid w:val="00E74F7D"/>
    <w:rsid w:val="00E76C65"/>
    <w:rsid w:val="00E82CA4"/>
    <w:rsid w:val="00E82F15"/>
    <w:rsid w:val="00E82FF9"/>
    <w:rsid w:val="00E83236"/>
    <w:rsid w:val="00E851DD"/>
    <w:rsid w:val="00E85AC4"/>
    <w:rsid w:val="00E8646A"/>
    <w:rsid w:val="00E86B49"/>
    <w:rsid w:val="00E86CBE"/>
    <w:rsid w:val="00E90D07"/>
    <w:rsid w:val="00E920AB"/>
    <w:rsid w:val="00E92668"/>
    <w:rsid w:val="00E92D2A"/>
    <w:rsid w:val="00E93721"/>
    <w:rsid w:val="00E9438E"/>
    <w:rsid w:val="00E96237"/>
    <w:rsid w:val="00E979F6"/>
    <w:rsid w:val="00EA0DFC"/>
    <w:rsid w:val="00EA1345"/>
    <w:rsid w:val="00EA21DC"/>
    <w:rsid w:val="00EA2263"/>
    <w:rsid w:val="00EA2347"/>
    <w:rsid w:val="00EA321A"/>
    <w:rsid w:val="00EA4436"/>
    <w:rsid w:val="00EA466A"/>
    <w:rsid w:val="00EA4F73"/>
    <w:rsid w:val="00EA5DBB"/>
    <w:rsid w:val="00EA5F98"/>
    <w:rsid w:val="00EA67BE"/>
    <w:rsid w:val="00EA7E19"/>
    <w:rsid w:val="00EB21F4"/>
    <w:rsid w:val="00EB2213"/>
    <w:rsid w:val="00EB30E3"/>
    <w:rsid w:val="00EB5C46"/>
    <w:rsid w:val="00EB5D3F"/>
    <w:rsid w:val="00EB5EBC"/>
    <w:rsid w:val="00EB5FFB"/>
    <w:rsid w:val="00EB65C7"/>
    <w:rsid w:val="00EB6780"/>
    <w:rsid w:val="00EB6C38"/>
    <w:rsid w:val="00EB71B0"/>
    <w:rsid w:val="00EB7975"/>
    <w:rsid w:val="00EB7F1B"/>
    <w:rsid w:val="00EC1E88"/>
    <w:rsid w:val="00EC241A"/>
    <w:rsid w:val="00EC2C07"/>
    <w:rsid w:val="00EC3095"/>
    <w:rsid w:val="00EC447B"/>
    <w:rsid w:val="00EC5133"/>
    <w:rsid w:val="00EC58CD"/>
    <w:rsid w:val="00EC714A"/>
    <w:rsid w:val="00ED2826"/>
    <w:rsid w:val="00ED364D"/>
    <w:rsid w:val="00ED3EA5"/>
    <w:rsid w:val="00ED510A"/>
    <w:rsid w:val="00ED5A34"/>
    <w:rsid w:val="00ED6E43"/>
    <w:rsid w:val="00ED7EF2"/>
    <w:rsid w:val="00EE155A"/>
    <w:rsid w:val="00EE223B"/>
    <w:rsid w:val="00EE2652"/>
    <w:rsid w:val="00EE403B"/>
    <w:rsid w:val="00EE4165"/>
    <w:rsid w:val="00EE4DD2"/>
    <w:rsid w:val="00EE4EE7"/>
    <w:rsid w:val="00EE6538"/>
    <w:rsid w:val="00EE70F3"/>
    <w:rsid w:val="00EF05A4"/>
    <w:rsid w:val="00EF0860"/>
    <w:rsid w:val="00EF2925"/>
    <w:rsid w:val="00EF2A36"/>
    <w:rsid w:val="00EF2D00"/>
    <w:rsid w:val="00EF3FD1"/>
    <w:rsid w:val="00EF42AD"/>
    <w:rsid w:val="00EF4CAD"/>
    <w:rsid w:val="00EF5E8A"/>
    <w:rsid w:val="00EF6350"/>
    <w:rsid w:val="00EF75F6"/>
    <w:rsid w:val="00EF7AC8"/>
    <w:rsid w:val="00EF7C1C"/>
    <w:rsid w:val="00F00319"/>
    <w:rsid w:val="00F003B5"/>
    <w:rsid w:val="00F01070"/>
    <w:rsid w:val="00F0311B"/>
    <w:rsid w:val="00F03192"/>
    <w:rsid w:val="00F03441"/>
    <w:rsid w:val="00F03566"/>
    <w:rsid w:val="00F039A7"/>
    <w:rsid w:val="00F03C82"/>
    <w:rsid w:val="00F0510D"/>
    <w:rsid w:val="00F05E12"/>
    <w:rsid w:val="00F06C5C"/>
    <w:rsid w:val="00F07D24"/>
    <w:rsid w:val="00F11236"/>
    <w:rsid w:val="00F12BDE"/>
    <w:rsid w:val="00F12BFB"/>
    <w:rsid w:val="00F1421F"/>
    <w:rsid w:val="00F14760"/>
    <w:rsid w:val="00F15244"/>
    <w:rsid w:val="00F16A38"/>
    <w:rsid w:val="00F17095"/>
    <w:rsid w:val="00F20CD9"/>
    <w:rsid w:val="00F22C73"/>
    <w:rsid w:val="00F22F3B"/>
    <w:rsid w:val="00F235D1"/>
    <w:rsid w:val="00F240A3"/>
    <w:rsid w:val="00F2446B"/>
    <w:rsid w:val="00F27BA1"/>
    <w:rsid w:val="00F27E5C"/>
    <w:rsid w:val="00F301A9"/>
    <w:rsid w:val="00F310BB"/>
    <w:rsid w:val="00F311DD"/>
    <w:rsid w:val="00F31F09"/>
    <w:rsid w:val="00F32527"/>
    <w:rsid w:val="00F326DB"/>
    <w:rsid w:val="00F32FA4"/>
    <w:rsid w:val="00F34917"/>
    <w:rsid w:val="00F3537B"/>
    <w:rsid w:val="00F375D8"/>
    <w:rsid w:val="00F4017B"/>
    <w:rsid w:val="00F40DD1"/>
    <w:rsid w:val="00F41254"/>
    <w:rsid w:val="00F4189F"/>
    <w:rsid w:val="00F41A1B"/>
    <w:rsid w:val="00F427BB"/>
    <w:rsid w:val="00F43001"/>
    <w:rsid w:val="00F4320F"/>
    <w:rsid w:val="00F447F4"/>
    <w:rsid w:val="00F450F8"/>
    <w:rsid w:val="00F47414"/>
    <w:rsid w:val="00F474CB"/>
    <w:rsid w:val="00F47A9F"/>
    <w:rsid w:val="00F50C4C"/>
    <w:rsid w:val="00F50D46"/>
    <w:rsid w:val="00F523E6"/>
    <w:rsid w:val="00F5264D"/>
    <w:rsid w:val="00F5297F"/>
    <w:rsid w:val="00F52DB8"/>
    <w:rsid w:val="00F5377A"/>
    <w:rsid w:val="00F5428C"/>
    <w:rsid w:val="00F5439F"/>
    <w:rsid w:val="00F548FE"/>
    <w:rsid w:val="00F55108"/>
    <w:rsid w:val="00F56D51"/>
    <w:rsid w:val="00F56D9B"/>
    <w:rsid w:val="00F56E18"/>
    <w:rsid w:val="00F56FB8"/>
    <w:rsid w:val="00F57237"/>
    <w:rsid w:val="00F57500"/>
    <w:rsid w:val="00F57A26"/>
    <w:rsid w:val="00F6314F"/>
    <w:rsid w:val="00F643B1"/>
    <w:rsid w:val="00F64E4F"/>
    <w:rsid w:val="00F656A0"/>
    <w:rsid w:val="00F65A7D"/>
    <w:rsid w:val="00F661FE"/>
    <w:rsid w:val="00F67415"/>
    <w:rsid w:val="00F67447"/>
    <w:rsid w:val="00F70448"/>
    <w:rsid w:val="00F704B2"/>
    <w:rsid w:val="00F71867"/>
    <w:rsid w:val="00F71C0F"/>
    <w:rsid w:val="00F7352B"/>
    <w:rsid w:val="00F737F9"/>
    <w:rsid w:val="00F73816"/>
    <w:rsid w:val="00F748EB"/>
    <w:rsid w:val="00F75E88"/>
    <w:rsid w:val="00F77062"/>
    <w:rsid w:val="00F773DC"/>
    <w:rsid w:val="00F777C8"/>
    <w:rsid w:val="00F77BA7"/>
    <w:rsid w:val="00F77E6F"/>
    <w:rsid w:val="00F81333"/>
    <w:rsid w:val="00F820B5"/>
    <w:rsid w:val="00F825FC"/>
    <w:rsid w:val="00F828A5"/>
    <w:rsid w:val="00F82D46"/>
    <w:rsid w:val="00F831D9"/>
    <w:rsid w:val="00F83EA5"/>
    <w:rsid w:val="00F84676"/>
    <w:rsid w:val="00F84B5B"/>
    <w:rsid w:val="00F8756D"/>
    <w:rsid w:val="00F87665"/>
    <w:rsid w:val="00F87E07"/>
    <w:rsid w:val="00F907E8"/>
    <w:rsid w:val="00F910EC"/>
    <w:rsid w:val="00F9342B"/>
    <w:rsid w:val="00F93EDE"/>
    <w:rsid w:val="00F950FB"/>
    <w:rsid w:val="00F95520"/>
    <w:rsid w:val="00F9578B"/>
    <w:rsid w:val="00F96635"/>
    <w:rsid w:val="00FA5001"/>
    <w:rsid w:val="00FA557C"/>
    <w:rsid w:val="00FA6164"/>
    <w:rsid w:val="00FA740F"/>
    <w:rsid w:val="00FA7DB4"/>
    <w:rsid w:val="00FB0279"/>
    <w:rsid w:val="00FB07DE"/>
    <w:rsid w:val="00FB117A"/>
    <w:rsid w:val="00FB2927"/>
    <w:rsid w:val="00FB64A7"/>
    <w:rsid w:val="00FB73C6"/>
    <w:rsid w:val="00FC0903"/>
    <w:rsid w:val="00FC0E1D"/>
    <w:rsid w:val="00FC261E"/>
    <w:rsid w:val="00FC2FD3"/>
    <w:rsid w:val="00FC3186"/>
    <w:rsid w:val="00FC3212"/>
    <w:rsid w:val="00FC40E6"/>
    <w:rsid w:val="00FC442C"/>
    <w:rsid w:val="00FC6022"/>
    <w:rsid w:val="00FC76B3"/>
    <w:rsid w:val="00FC7B73"/>
    <w:rsid w:val="00FD1819"/>
    <w:rsid w:val="00FD1A31"/>
    <w:rsid w:val="00FD2290"/>
    <w:rsid w:val="00FD27FF"/>
    <w:rsid w:val="00FD3505"/>
    <w:rsid w:val="00FD50D4"/>
    <w:rsid w:val="00FD5724"/>
    <w:rsid w:val="00FD7B73"/>
    <w:rsid w:val="00FD7DA3"/>
    <w:rsid w:val="00FE00BE"/>
    <w:rsid w:val="00FE0849"/>
    <w:rsid w:val="00FE0A42"/>
    <w:rsid w:val="00FE2748"/>
    <w:rsid w:val="00FE3946"/>
    <w:rsid w:val="00FE3CC4"/>
    <w:rsid w:val="00FE712D"/>
    <w:rsid w:val="00FE7328"/>
    <w:rsid w:val="00FE7A4B"/>
    <w:rsid w:val="00FF1CBE"/>
    <w:rsid w:val="00FF223E"/>
    <w:rsid w:val="00FF224B"/>
    <w:rsid w:val="00FF2E7A"/>
    <w:rsid w:val="00FF3350"/>
    <w:rsid w:val="00FF3F1F"/>
    <w:rsid w:val="00FF40D1"/>
    <w:rsid w:val="00FF4388"/>
    <w:rsid w:val="00FF583A"/>
    <w:rsid w:val="00FF6CCA"/>
    <w:rsid w:val="00FF74E2"/>
    <w:rsid w:val="00FF7DE4"/>
    <w:rsid w:val="010F940B"/>
    <w:rsid w:val="01231EC5"/>
    <w:rsid w:val="013C918D"/>
    <w:rsid w:val="0212FE3E"/>
    <w:rsid w:val="0268DBFD"/>
    <w:rsid w:val="026CF942"/>
    <w:rsid w:val="027F859D"/>
    <w:rsid w:val="03DE4BF0"/>
    <w:rsid w:val="0484E308"/>
    <w:rsid w:val="0499E71D"/>
    <w:rsid w:val="049FA6AD"/>
    <w:rsid w:val="04BB6B44"/>
    <w:rsid w:val="04D364B1"/>
    <w:rsid w:val="052B2A0E"/>
    <w:rsid w:val="05B6D1EA"/>
    <w:rsid w:val="06556C33"/>
    <w:rsid w:val="0676227D"/>
    <w:rsid w:val="06CE0C96"/>
    <w:rsid w:val="06D07A57"/>
    <w:rsid w:val="06D5D7E9"/>
    <w:rsid w:val="0702D56B"/>
    <w:rsid w:val="071A0507"/>
    <w:rsid w:val="078AD43F"/>
    <w:rsid w:val="0792A83D"/>
    <w:rsid w:val="0957B054"/>
    <w:rsid w:val="09878754"/>
    <w:rsid w:val="09AF8CA8"/>
    <w:rsid w:val="09B741AA"/>
    <w:rsid w:val="0A162398"/>
    <w:rsid w:val="0A16DCC9"/>
    <w:rsid w:val="0A6DE7AB"/>
    <w:rsid w:val="0AE60660"/>
    <w:rsid w:val="0AFFA87F"/>
    <w:rsid w:val="0B2C6F0E"/>
    <w:rsid w:val="0BA01E38"/>
    <w:rsid w:val="0BCE5A7B"/>
    <w:rsid w:val="0BD2ED07"/>
    <w:rsid w:val="0BEAE674"/>
    <w:rsid w:val="0C5FE96C"/>
    <w:rsid w:val="0C7C5C8F"/>
    <w:rsid w:val="0C7C8F07"/>
    <w:rsid w:val="0D7CD5C5"/>
    <w:rsid w:val="0D94CA7E"/>
    <w:rsid w:val="0D9B27E4"/>
    <w:rsid w:val="0DACC3EB"/>
    <w:rsid w:val="0DC6343C"/>
    <w:rsid w:val="0E1120EC"/>
    <w:rsid w:val="0E533DC2"/>
    <w:rsid w:val="0E84E9AA"/>
    <w:rsid w:val="0F0563C5"/>
    <w:rsid w:val="0F593733"/>
    <w:rsid w:val="0F6EA162"/>
    <w:rsid w:val="0FCDE961"/>
    <w:rsid w:val="0FF36441"/>
    <w:rsid w:val="0FFDB876"/>
    <w:rsid w:val="105A4662"/>
    <w:rsid w:val="10ABF4EC"/>
    <w:rsid w:val="114B88AB"/>
    <w:rsid w:val="116DE4DF"/>
    <w:rsid w:val="11E76245"/>
    <w:rsid w:val="1210122B"/>
    <w:rsid w:val="122BFB86"/>
    <w:rsid w:val="122DDA18"/>
    <w:rsid w:val="134923E2"/>
    <w:rsid w:val="1363F6CE"/>
    <w:rsid w:val="13CFDC6D"/>
    <w:rsid w:val="13F593B2"/>
    <w:rsid w:val="1422C405"/>
    <w:rsid w:val="14313D56"/>
    <w:rsid w:val="1477B750"/>
    <w:rsid w:val="14A7866C"/>
    <w:rsid w:val="152AA9CD"/>
    <w:rsid w:val="15528471"/>
    <w:rsid w:val="15532BBA"/>
    <w:rsid w:val="1565C757"/>
    <w:rsid w:val="1586BEEA"/>
    <w:rsid w:val="15B74AE0"/>
    <w:rsid w:val="15C634D4"/>
    <w:rsid w:val="15F972C0"/>
    <w:rsid w:val="16D8FB1E"/>
    <w:rsid w:val="16EE54D2"/>
    <w:rsid w:val="1714D660"/>
    <w:rsid w:val="171CDE52"/>
    <w:rsid w:val="173F9E3B"/>
    <w:rsid w:val="17580531"/>
    <w:rsid w:val="17779862"/>
    <w:rsid w:val="187005F0"/>
    <w:rsid w:val="188A2533"/>
    <w:rsid w:val="18A2A1D9"/>
    <w:rsid w:val="1920265B"/>
    <w:rsid w:val="194C89EE"/>
    <w:rsid w:val="196720C6"/>
    <w:rsid w:val="1A01F08D"/>
    <w:rsid w:val="1A0C1B23"/>
    <w:rsid w:val="1A282A18"/>
    <w:rsid w:val="1A2D4AEC"/>
    <w:rsid w:val="1AE85A4F"/>
    <w:rsid w:val="1B5F47B7"/>
    <w:rsid w:val="1B61E57A"/>
    <w:rsid w:val="1B6ECB2E"/>
    <w:rsid w:val="1B9F480C"/>
    <w:rsid w:val="1BC1C5F5"/>
    <w:rsid w:val="1BE08CCE"/>
    <w:rsid w:val="1BF2E7BF"/>
    <w:rsid w:val="1C208B8F"/>
    <w:rsid w:val="1CC594CF"/>
    <w:rsid w:val="1D0AB2A3"/>
    <w:rsid w:val="1D1DEB4A"/>
    <w:rsid w:val="1D406AC6"/>
    <w:rsid w:val="1DB49236"/>
    <w:rsid w:val="1DBF1218"/>
    <w:rsid w:val="1EC14EA8"/>
    <w:rsid w:val="1ED7E6DD"/>
    <w:rsid w:val="1EE2DDE1"/>
    <w:rsid w:val="1F4CCF3D"/>
    <w:rsid w:val="1FDAB7C2"/>
    <w:rsid w:val="1FEBCD22"/>
    <w:rsid w:val="20B12473"/>
    <w:rsid w:val="20C73189"/>
    <w:rsid w:val="20CC178C"/>
    <w:rsid w:val="213AF677"/>
    <w:rsid w:val="215E366E"/>
    <w:rsid w:val="21B560DE"/>
    <w:rsid w:val="21DC7FFE"/>
    <w:rsid w:val="21EFAC30"/>
    <w:rsid w:val="21FFBAA5"/>
    <w:rsid w:val="22F413D9"/>
    <w:rsid w:val="23083C12"/>
    <w:rsid w:val="2314CD5B"/>
    <w:rsid w:val="232CC6C8"/>
    <w:rsid w:val="238EF0EC"/>
    <w:rsid w:val="23B681D5"/>
    <w:rsid w:val="23E8A793"/>
    <w:rsid w:val="23F8F020"/>
    <w:rsid w:val="243B1204"/>
    <w:rsid w:val="249C2C75"/>
    <w:rsid w:val="24BA1813"/>
    <w:rsid w:val="24ED01A0"/>
    <w:rsid w:val="257EBA3F"/>
    <w:rsid w:val="266004F6"/>
    <w:rsid w:val="2675DC59"/>
    <w:rsid w:val="26B95380"/>
    <w:rsid w:val="26DF9670"/>
    <w:rsid w:val="270C6622"/>
    <w:rsid w:val="2777462C"/>
    <w:rsid w:val="279D9C25"/>
    <w:rsid w:val="27A70635"/>
    <w:rsid w:val="27DC143D"/>
    <w:rsid w:val="27E84BD1"/>
    <w:rsid w:val="2811724A"/>
    <w:rsid w:val="284DE5AE"/>
    <w:rsid w:val="285D59A5"/>
    <w:rsid w:val="285F6F01"/>
    <w:rsid w:val="29111E4F"/>
    <w:rsid w:val="29903205"/>
    <w:rsid w:val="29D77A2F"/>
    <w:rsid w:val="29F9E0DC"/>
    <w:rsid w:val="2A30FD84"/>
    <w:rsid w:val="2A3EEABB"/>
    <w:rsid w:val="2A5E6A58"/>
    <w:rsid w:val="2AC61612"/>
    <w:rsid w:val="2AC90B6A"/>
    <w:rsid w:val="2B8C76DC"/>
    <w:rsid w:val="2C1C58FE"/>
    <w:rsid w:val="2C87FC9A"/>
    <w:rsid w:val="2C99477D"/>
    <w:rsid w:val="2CB89FE4"/>
    <w:rsid w:val="2D34253F"/>
    <w:rsid w:val="2D43A390"/>
    <w:rsid w:val="2D661E63"/>
    <w:rsid w:val="2D68399F"/>
    <w:rsid w:val="2DB00A0C"/>
    <w:rsid w:val="2DB3553E"/>
    <w:rsid w:val="2E82E915"/>
    <w:rsid w:val="2EE3ACC9"/>
    <w:rsid w:val="2F69F9FD"/>
    <w:rsid w:val="2F6C3E92"/>
    <w:rsid w:val="2F8EE7E7"/>
    <w:rsid w:val="2FCBAFB6"/>
    <w:rsid w:val="3015223A"/>
    <w:rsid w:val="30266A6B"/>
    <w:rsid w:val="30DB81CC"/>
    <w:rsid w:val="3175BA6F"/>
    <w:rsid w:val="318D5A5C"/>
    <w:rsid w:val="31D2F6A5"/>
    <w:rsid w:val="321282DD"/>
    <w:rsid w:val="322A4979"/>
    <w:rsid w:val="326A7AE2"/>
    <w:rsid w:val="32845AF1"/>
    <w:rsid w:val="329B383F"/>
    <w:rsid w:val="32EE92FE"/>
    <w:rsid w:val="32FF231F"/>
    <w:rsid w:val="339F754C"/>
    <w:rsid w:val="33EBF41F"/>
    <w:rsid w:val="3418F1A1"/>
    <w:rsid w:val="342EC366"/>
    <w:rsid w:val="343E140B"/>
    <w:rsid w:val="34A842F3"/>
    <w:rsid w:val="3500C6C8"/>
    <w:rsid w:val="357E118D"/>
    <w:rsid w:val="359F7EBD"/>
    <w:rsid w:val="35C5576F"/>
    <w:rsid w:val="35E4A87D"/>
    <w:rsid w:val="35ECF5B6"/>
    <w:rsid w:val="3636900C"/>
    <w:rsid w:val="36378CA3"/>
    <w:rsid w:val="3664BF8B"/>
    <w:rsid w:val="36A20FF3"/>
    <w:rsid w:val="36C32607"/>
    <w:rsid w:val="36F63240"/>
    <w:rsid w:val="370B60A9"/>
    <w:rsid w:val="37703CD1"/>
    <w:rsid w:val="37FD16DC"/>
    <w:rsid w:val="385FE530"/>
    <w:rsid w:val="38B7DD5E"/>
    <w:rsid w:val="397A1EF1"/>
    <w:rsid w:val="3989269E"/>
    <w:rsid w:val="399A7A20"/>
    <w:rsid w:val="39C3E1C2"/>
    <w:rsid w:val="39E81242"/>
    <w:rsid w:val="3A98657E"/>
    <w:rsid w:val="3ABE19D4"/>
    <w:rsid w:val="3B6ED22F"/>
    <w:rsid w:val="3B75386D"/>
    <w:rsid w:val="3BA7D1E8"/>
    <w:rsid w:val="3C4DE6B2"/>
    <w:rsid w:val="3C9ABE4F"/>
    <w:rsid w:val="3CFF03BE"/>
    <w:rsid w:val="3D0ED66C"/>
    <w:rsid w:val="3D273BE3"/>
    <w:rsid w:val="3D2BCE6F"/>
    <w:rsid w:val="3D810416"/>
    <w:rsid w:val="3DA11AF7"/>
    <w:rsid w:val="3DBD7702"/>
    <w:rsid w:val="3DE90431"/>
    <w:rsid w:val="3E2F38A2"/>
    <w:rsid w:val="3E669082"/>
    <w:rsid w:val="3E6C6606"/>
    <w:rsid w:val="3E8730D0"/>
    <w:rsid w:val="3EA4226B"/>
    <w:rsid w:val="3EB3FB81"/>
    <w:rsid w:val="3F7E5BAD"/>
    <w:rsid w:val="3FF9E453"/>
    <w:rsid w:val="40365E90"/>
    <w:rsid w:val="40E82AB3"/>
    <w:rsid w:val="4111281F"/>
    <w:rsid w:val="41916EF1"/>
    <w:rsid w:val="41A406C8"/>
    <w:rsid w:val="41C338CE"/>
    <w:rsid w:val="424FAFDC"/>
    <w:rsid w:val="4254A80A"/>
    <w:rsid w:val="42D2D4B7"/>
    <w:rsid w:val="42DE35A1"/>
    <w:rsid w:val="432CD4DF"/>
    <w:rsid w:val="4367EB53"/>
    <w:rsid w:val="436CE381"/>
    <w:rsid w:val="43CE96E3"/>
    <w:rsid w:val="44033A7A"/>
    <w:rsid w:val="440514C8"/>
    <w:rsid w:val="44194790"/>
    <w:rsid w:val="443922F5"/>
    <w:rsid w:val="443B957D"/>
    <w:rsid w:val="4465780A"/>
    <w:rsid w:val="446B5586"/>
    <w:rsid w:val="448D0C7E"/>
    <w:rsid w:val="45159066"/>
    <w:rsid w:val="451F12D6"/>
    <w:rsid w:val="4587CA42"/>
    <w:rsid w:val="45BC2519"/>
    <w:rsid w:val="45C0698B"/>
    <w:rsid w:val="45D9E935"/>
    <w:rsid w:val="46827325"/>
    <w:rsid w:val="46A59E55"/>
    <w:rsid w:val="46BBE638"/>
    <w:rsid w:val="46D3A1DB"/>
    <w:rsid w:val="470897DC"/>
    <w:rsid w:val="47AF4484"/>
    <w:rsid w:val="47BA8713"/>
    <w:rsid w:val="47F96C72"/>
    <w:rsid w:val="488BA5CD"/>
    <w:rsid w:val="493A021B"/>
    <w:rsid w:val="493F8B94"/>
    <w:rsid w:val="49A85A17"/>
    <w:rsid w:val="49C22C6C"/>
    <w:rsid w:val="4A324A6C"/>
    <w:rsid w:val="4AA156DF"/>
    <w:rsid w:val="4ABD5574"/>
    <w:rsid w:val="4AC95C33"/>
    <w:rsid w:val="4AD4154B"/>
    <w:rsid w:val="4AF91C3C"/>
    <w:rsid w:val="4B87CF77"/>
    <w:rsid w:val="4C1E0A96"/>
    <w:rsid w:val="4C3636D4"/>
    <w:rsid w:val="4C4264AC"/>
    <w:rsid w:val="4C7FA958"/>
    <w:rsid w:val="4CAD3A63"/>
    <w:rsid w:val="4D8C2E91"/>
    <w:rsid w:val="4D92EB43"/>
    <w:rsid w:val="4D9C8E44"/>
    <w:rsid w:val="4DE04AD4"/>
    <w:rsid w:val="4E06E335"/>
    <w:rsid w:val="4ECE07A1"/>
    <w:rsid w:val="4EF642B2"/>
    <w:rsid w:val="4F13451A"/>
    <w:rsid w:val="4FB30560"/>
    <w:rsid w:val="4FF1AC32"/>
    <w:rsid w:val="50153F7F"/>
    <w:rsid w:val="50179B9B"/>
    <w:rsid w:val="501E5A31"/>
    <w:rsid w:val="50421CD0"/>
    <w:rsid w:val="5061B8A6"/>
    <w:rsid w:val="507C8374"/>
    <w:rsid w:val="509B722C"/>
    <w:rsid w:val="50AA6BC9"/>
    <w:rsid w:val="50B04370"/>
    <w:rsid w:val="50B07641"/>
    <w:rsid w:val="50B88E19"/>
    <w:rsid w:val="50BA4FA6"/>
    <w:rsid w:val="50D0A8F9"/>
    <w:rsid w:val="513E83F7"/>
    <w:rsid w:val="5165BF34"/>
    <w:rsid w:val="51BA2A92"/>
    <w:rsid w:val="51C856A8"/>
    <w:rsid w:val="51E4659D"/>
    <w:rsid w:val="51F2B500"/>
    <w:rsid w:val="527BFA4C"/>
    <w:rsid w:val="528F1282"/>
    <w:rsid w:val="5293F3B9"/>
    <w:rsid w:val="52A6A379"/>
    <w:rsid w:val="531DC5BD"/>
    <w:rsid w:val="535266FD"/>
    <w:rsid w:val="5362BCAC"/>
    <w:rsid w:val="536DF460"/>
    <w:rsid w:val="53939A7D"/>
    <w:rsid w:val="53F4326E"/>
    <w:rsid w:val="54212FF0"/>
    <w:rsid w:val="54F04282"/>
    <w:rsid w:val="54F79CA1"/>
    <w:rsid w:val="55FF8199"/>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B70B7DD"/>
    <w:rsid w:val="5C09F365"/>
    <w:rsid w:val="5C315505"/>
    <w:rsid w:val="5D3A2849"/>
    <w:rsid w:val="5DEA7B85"/>
    <w:rsid w:val="5E10C7CB"/>
    <w:rsid w:val="5E25CBE0"/>
    <w:rsid w:val="5EC0E836"/>
    <w:rsid w:val="5EE701AB"/>
    <w:rsid w:val="5F4174B5"/>
    <w:rsid w:val="5F62B3A7"/>
    <w:rsid w:val="5F70EF11"/>
    <w:rsid w:val="5FC45269"/>
    <w:rsid w:val="5FC603C1"/>
    <w:rsid w:val="600F08EE"/>
    <w:rsid w:val="605119C5"/>
    <w:rsid w:val="60658F9E"/>
    <w:rsid w:val="60DA3C90"/>
    <w:rsid w:val="60F62728"/>
    <w:rsid w:val="6102DA26"/>
    <w:rsid w:val="613C8A8B"/>
    <w:rsid w:val="619DE418"/>
    <w:rsid w:val="6253377B"/>
    <w:rsid w:val="63583035"/>
    <w:rsid w:val="636DA877"/>
    <w:rsid w:val="63900405"/>
    <w:rsid w:val="6393047A"/>
    <w:rsid w:val="64633E26"/>
    <w:rsid w:val="649DEB22"/>
    <w:rsid w:val="6515484F"/>
    <w:rsid w:val="65C0A35D"/>
    <w:rsid w:val="65D43AEE"/>
    <w:rsid w:val="667C1D6D"/>
    <w:rsid w:val="66953B0B"/>
    <w:rsid w:val="66BA015A"/>
    <w:rsid w:val="67408B8A"/>
    <w:rsid w:val="677E5A15"/>
    <w:rsid w:val="67E5D683"/>
    <w:rsid w:val="682E5509"/>
    <w:rsid w:val="68353689"/>
    <w:rsid w:val="6858BAB4"/>
    <w:rsid w:val="6860619E"/>
    <w:rsid w:val="68654E78"/>
    <w:rsid w:val="687C4473"/>
    <w:rsid w:val="687DFBAB"/>
    <w:rsid w:val="69127F92"/>
    <w:rsid w:val="693012B7"/>
    <w:rsid w:val="694F88FB"/>
    <w:rsid w:val="69632C4A"/>
    <w:rsid w:val="69F3CDAE"/>
    <w:rsid w:val="6A5AADE3"/>
    <w:rsid w:val="6AB97CD3"/>
    <w:rsid w:val="6B409CF3"/>
    <w:rsid w:val="6C41D0D9"/>
    <w:rsid w:val="6C5C8A1B"/>
    <w:rsid w:val="6D64B9AB"/>
    <w:rsid w:val="6DE31768"/>
    <w:rsid w:val="6E2D2E5E"/>
    <w:rsid w:val="6E782FC5"/>
    <w:rsid w:val="6E7B251D"/>
    <w:rsid w:val="6E8991BC"/>
    <w:rsid w:val="6EBBB657"/>
    <w:rsid w:val="6F32E66E"/>
    <w:rsid w:val="7051D3D8"/>
    <w:rsid w:val="70FD45DD"/>
    <w:rsid w:val="7140F616"/>
    <w:rsid w:val="716E4224"/>
    <w:rsid w:val="71A11712"/>
    <w:rsid w:val="71D6C059"/>
    <w:rsid w:val="71D893C5"/>
    <w:rsid w:val="720DD9A8"/>
    <w:rsid w:val="72F46581"/>
    <w:rsid w:val="732F14EF"/>
    <w:rsid w:val="733E0E8C"/>
    <w:rsid w:val="7348DE61"/>
    <w:rsid w:val="735430E0"/>
    <w:rsid w:val="737107B0"/>
    <w:rsid w:val="738B3663"/>
    <w:rsid w:val="73A5DB28"/>
    <w:rsid w:val="73D0A59C"/>
    <w:rsid w:val="73ED8833"/>
    <w:rsid w:val="73FD5BC9"/>
    <w:rsid w:val="740C65AD"/>
    <w:rsid w:val="742610A6"/>
    <w:rsid w:val="7449ADCC"/>
    <w:rsid w:val="746D33E0"/>
    <w:rsid w:val="746D6EF1"/>
    <w:rsid w:val="74CAA620"/>
    <w:rsid w:val="74EDFD0E"/>
    <w:rsid w:val="74F0F266"/>
    <w:rsid w:val="754394D6"/>
    <w:rsid w:val="7558699B"/>
    <w:rsid w:val="75CE1053"/>
    <w:rsid w:val="765AD7AF"/>
    <w:rsid w:val="766FDBC4"/>
    <w:rsid w:val="77A53097"/>
    <w:rsid w:val="77FFF65C"/>
    <w:rsid w:val="790C4994"/>
    <w:rsid w:val="79383BC6"/>
    <w:rsid w:val="7950DB09"/>
    <w:rsid w:val="7961EE1F"/>
    <w:rsid w:val="7B404098"/>
    <w:rsid w:val="7BD1F785"/>
    <w:rsid w:val="7BEEF12C"/>
    <w:rsid w:val="7C9161DD"/>
    <w:rsid w:val="7C99B71A"/>
    <w:rsid w:val="7CC3BF44"/>
    <w:rsid w:val="7DD82619"/>
    <w:rsid w:val="7DE41B12"/>
    <w:rsid w:val="7DF83539"/>
    <w:rsid w:val="7EB0BBD1"/>
    <w:rsid w:val="7EB58F95"/>
    <w:rsid w:val="7EB6CD5F"/>
    <w:rsid w:val="7EC77497"/>
    <w:rsid w:val="7F0803AB"/>
    <w:rsid w:val="7F3A357E"/>
    <w:rsid w:val="7F43357E"/>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E46D91C7-29D0-4292-B0FD-C1E58518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EF7AC8"/>
  </w:style>
  <w:style w:type="character" w:customStyle="1" w:styleId="eop">
    <w:name w:val="eop"/>
    <w:basedOn w:val="DefaultParagraphFont"/>
    <w:rsid w:val="00EF7AC8"/>
  </w:style>
  <w:style w:type="character" w:customStyle="1" w:styleId="cf01">
    <w:name w:val="cf01"/>
    <w:basedOn w:val="DefaultParagraphFont"/>
    <w:rsid w:val="005D21FB"/>
    <w:rPr>
      <w:rFonts w:ascii="Segoe UI" w:hAnsi="Segoe UI" w:cs="Segoe UI" w:hint="default"/>
      <w:sz w:val="18"/>
      <w:szCs w:val="18"/>
    </w:rPr>
  </w:style>
  <w:style w:type="paragraph" w:customStyle="1" w:styleId="paragraph">
    <w:name w:val="paragraph"/>
    <w:basedOn w:val="Normal"/>
    <w:rsid w:val="00CD652E"/>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752A6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3E63AB"/>
  </w:style>
  <w:style w:type="character" w:customStyle="1" w:styleId="mixed-citation">
    <w:name w:val="mixed-citation"/>
    <w:basedOn w:val="DefaultParagraphFont"/>
    <w:rsid w:val="00CB0387"/>
  </w:style>
  <w:style w:type="character" w:customStyle="1" w:styleId="ref-journal">
    <w:name w:val="ref-journal"/>
    <w:basedOn w:val="DefaultParagraphFont"/>
    <w:rsid w:val="00CB0387"/>
  </w:style>
  <w:style w:type="character" w:customStyle="1" w:styleId="ref-vol">
    <w:name w:val="ref-vol"/>
    <w:basedOn w:val="DefaultParagraphFont"/>
    <w:rsid w:val="00CB0387"/>
  </w:style>
  <w:style w:type="character" w:customStyle="1" w:styleId="nowrap">
    <w:name w:val="nowrap"/>
    <w:basedOn w:val="DefaultParagraphFont"/>
    <w:rsid w:val="00CB0387"/>
  </w:style>
  <w:style w:type="character" w:styleId="PlaceholderText">
    <w:name w:val="Placeholder Text"/>
    <w:basedOn w:val="DefaultParagraphFont"/>
    <w:uiPriority w:val="99"/>
    <w:semiHidden/>
    <w:rsid w:val="00D742D4"/>
    <w:rPr>
      <w:color w:val="666666"/>
    </w:rPr>
  </w:style>
  <w:style w:type="character" w:customStyle="1" w:styleId="ListParagraphChar">
    <w:name w:val="List Paragraph Char"/>
    <w:basedOn w:val="DefaultParagraphFont"/>
    <w:link w:val="ListParagraph"/>
    <w:uiPriority w:val="34"/>
    <w:locked/>
    <w:rsid w:val="00EF2925"/>
    <w:rPr>
      <w:sz w:val="24"/>
    </w:rPr>
  </w:style>
  <w:style w:type="table" w:customStyle="1" w:styleId="Style5">
    <w:name w:val="Style5"/>
    <w:basedOn w:val="TableNormal"/>
    <w:uiPriority w:val="99"/>
    <w:rsid w:val="00F87665"/>
    <w:pPr>
      <w:spacing w:after="0" w:line="240" w:lineRule="auto"/>
      <w:jc w:val="left"/>
    </w:pPr>
    <w:tblPr/>
  </w:style>
  <w:style w:type="paragraph" w:customStyle="1" w:styleId="Subhheadingblack">
    <w:name w:val="Subhheading black"/>
    <w:basedOn w:val="Subheading"/>
    <w:link w:val="SubhheadingblackChar"/>
    <w:qFormat/>
    <w:rsid w:val="00575374"/>
    <w:rPr>
      <w:rFonts w:eastAsia="Calibri"/>
      <w:color w:val="007559"/>
      <w:spacing w:val="4"/>
      <w:kern w:val="3"/>
    </w:rPr>
  </w:style>
  <w:style w:type="character" w:customStyle="1" w:styleId="SubhheadingblackChar">
    <w:name w:val="Subhheading black Char"/>
    <w:basedOn w:val="SubheadingChar"/>
    <w:link w:val="Subhheadingblack"/>
    <w:rsid w:val="00575374"/>
    <w:rPr>
      <w:rFonts w:ascii="Tahoma" w:eastAsia="Calibri" w:hAnsi="Tahoma" w:cs="Tahoma"/>
      <w:b/>
      <w:bCs/>
      <w:color w:val="007559"/>
      <w:spacing w:val="4"/>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33534636">
      <w:bodyDiv w:val="1"/>
      <w:marLeft w:val="0"/>
      <w:marRight w:val="0"/>
      <w:marTop w:val="0"/>
      <w:marBottom w:val="0"/>
      <w:divBdr>
        <w:top w:val="none" w:sz="0" w:space="0" w:color="auto"/>
        <w:left w:val="none" w:sz="0" w:space="0" w:color="auto"/>
        <w:bottom w:val="none" w:sz="0" w:space="0" w:color="auto"/>
        <w:right w:val="none" w:sz="0" w:space="0" w:color="auto"/>
      </w:divBdr>
      <w:divsChild>
        <w:div w:id="2146896917">
          <w:marLeft w:val="360"/>
          <w:marRight w:val="0"/>
          <w:marTop w:val="200"/>
          <w:marBottom w:val="0"/>
          <w:divBdr>
            <w:top w:val="none" w:sz="0" w:space="0" w:color="auto"/>
            <w:left w:val="none" w:sz="0" w:space="0" w:color="auto"/>
            <w:bottom w:val="none" w:sz="0" w:space="0" w:color="auto"/>
            <w:right w:val="none" w:sz="0" w:space="0" w:color="auto"/>
          </w:divBdr>
        </w:div>
      </w:divsChild>
    </w:div>
    <w:div w:id="725182728">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1017535850">
      <w:bodyDiv w:val="1"/>
      <w:marLeft w:val="0"/>
      <w:marRight w:val="0"/>
      <w:marTop w:val="0"/>
      <w:marBottom w:val="0"/>
      <w:divBdr>
        <w:top w:val="none" w:sz="0" w:space="0" w:color="auto"/>
        <w:left w:val="none" w:sz="0" w:space="0" w:color="auto"/>
        <w:bottom w:val="none" w:sz="0" w:space="0" w:color="auto"/>
        <w:right w:val="none" w:sz="0" w:space="0" w:color="auto"/>
      </w:divBdr>
    </w:div>
    <w:div w:id="1109621645">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372731650">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www.suttontrust.com/wp-content/uploads/2014/10/What-Makes-Great-Teaching-REPORT.pdf" TargetMode="External"/><Relationship Id="rId21" Type="http://schemas.openxmlformats.org/officeDocument/2006/relationships/image" Target="media/image11.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doi.org/10.1177/0022487108324554" TargetMode="External"/><Relationship Id="rId33" Type="http://schemas.openxmlformats.org/officeDocument/2006/relationships/hyperlink" Target="https://doi.org/10.1080/00461520.2021.193970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educationendowmentfoundation.org.uk/education-evidence/guidance-reports/science-ks3-ks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https://doi.org/10.17763/haer.57.1.j463w79r56455411"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educationendowmentfoundation.org.uk/education-evidence/guidance-reports/sen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d2tic4wvo1iusb.cloudfront.net/production/eef-guidance-reports/metacognition/Metacognition-and-Self-regulated-Learning_guidance-report_v.1.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assets.publishing.service.gov.uk/media/661d24ac08c3be25cfbd3e61/Initial_Teacher_Training_and_Early_Career_Framework.pdf" TargetMode="External"/><Relationship Id="rId30" Type="http://schemas.openxmlformats.org/officeDocument/2006/relationships/hyperlink" Target="https://d2tic4wvo1iusb.cloudfront.net/production/eef-guidance-reports/implementation/a_schools_guide_to_implementation.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558A6B13ECDA44FBB611E3203DA1F554"/>
        <w:category>
          <w:name w:val="General"/>
          <w:gallery w:val="placeholder"/>
        </w:category>
        <w:types>
          <w:type w:val="bbPlcHdr"/>
        </w:types>
        <w:behaviors>
          <w:behavior w:val="content"/>
        </w:behaviors>
        <w:guid w:val="{2FBD6744-9CD0-4CC7-80C1-F2156EECD142}"/>
      </w:docPartPr>
      <w:docPartBody>
        <w:p w:rsidR="00FF2E7A" w:rsidRDefault="00FF2E7A">
          <w:pPr>
            <w:pStyle w:val="558A6B13ECDA44FBB611E3203DA1F554"/>
          </w:pPr>
          <w:r>
            <w:rPr>
              <w:color w:val="0F4761" w:themeColor="accent1" w:themeShade="BF"/>
            </w:rPr>
            <w:t>[Document subtitle]</w:t>
          </w:r>
        </w:p>
      </w:docPartBody>
    </w:docPart>
    <w:docPart>
      <w:docPartPr>
        <w:name w:val="4428077394964857AB3CA30EC6E2C407"/>
        <w:category>
          <w:name w:val="General"/>
          <w:gallery w:val="placeholder"/>
        </w:category>
        <w:types>
          <w:type w:val="bbPlcHdr"/>
        </w:types>
        <w:behaviors>
          <w:behavior w:val="content"/>
        </w:behaviors>
        <w:guid w:val="{3EEB6328-84FC-473B-AB9F-76698EB64748}"/>
      </w:docPartPr>
      <w:docPartBody>
        <w:p w:rsidR="00B31A82" w:rsidRDefault="00146A49">
          <w:r w:rsidRPr="009C68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725B9"/>
    <w:rsid w:val="00082A52"/>
    <w:rsid w:val="000841DE"/>
    <w:rsid w:val="000A305F"/>
    <w:rsid w:val="000D587C"/>
    <w:rsid w:val="000E789F"/>
    <w:rsid w:val="00105CD4"/>
    <w:rsid w:val="001075F9"/>
    <w:rsid w:val="00122B3F"/>
    <w:rsid w:val="0014386D"/>
    <w:rsid w:val="00146A49"/>
    <w:rsid w:val="00172BD2"/>
    <w:rsid w:val="00173EE2"/>
    <w:rsid w:val="001859EB"/>
    <w:rsid w:val="00213937"/>
    <w:rsid w:val="002A06C2"/>
    <w:rsid w:val="002A27C9"/>
    <w:rsid w:val="002D43AD"/>
    <w:rsid w:val="002E0D59"/>
    <w:rsid w:val="003270E4"/>
    <w:rsid w:val="003438E3"/>
    <w:rsid w:val="00380F87"/>
    <w:rsid w:val="00384081"/>
    <w:rsid w:val="00387FF7"/>
    <w:rsid w:val="00391929"/>
    <w:rsid w:val="003966C0"/>
    <w:rsid w:val="003D729B"/>
    <w:rsid w:val="004055B4"/>
    <w:rsid w:val="00416C72"/>
    <w:rsid w:val="00416FC7"/>
    <w:rsid w:val="00441821"/>
    <w:rsid w:val="004456A9"/>
    <w:rsid w:val="0045520A"/>
    <w:rsid w:val="00487835"/>
    <w:rsid w:val="00491279"/>
    <w:rsid w:val="004A07A2"/>
    <w:rsid w:val="004B1E4C"/>
    <w:rsid w:val="004D2814"/>
    <w:rsid w:val="005004D8"/>
    <w:rsid w:val="0051614B"/>
    <w:rsid w:val="00544ACB"/>
    <w:rsid w:val="00562C79"/>
    <w:rsid w:val="005E0F26"/>
    <w:rsid w:val="006256B7"/>
    <w:rsid w:val="00632ACD"/>
    <w:rsid w:val="00635385"/>
    <w:rsid w:val="00637445"/>
    <w:rsid w:val="00645D98"/>
    <w:rsid w:val="006468BE"/>
    <w:rsid w:val="00694E88"/>
    <w:rsid w:val="006D0D8E"/>
    <w:rsid w:val="00733608"/>
    <w:rsid w:val="007558DC"/>
    <w:rsid w:val="007F07C4"/>
    <w:rsid w:val="00893FAD"/>
    <w:rsid w:val="008A3FCD"/>
    <w:rsid w:val="008A7E36"/>
    <w:rsid w:val="008C2F3E"/>
    <w:rsid w:val="008C68C5"/>
    <w:rsid w:val="008D1272"/>
    <w:rsid w:val="008D12C1"/>
    <w:rsid w:val="008F1DBD"/>
    <w:rsid w:val="00940722"/>
    <w:rsid w:val="009A0EF3"/>
    <w:rsid w:val="009A45ED"/>
    <w:rsid w:val="009F4866"/>
    <w:rsid w:val="009F6C4F"/>
    <w:rsid w:val="00A1775F"/>
    <w:rsid w:val="00A20A3E"/>
    <w:rsid w:val="00A221B9"/>
    <w:rsid w:val="00A43C05"/>
    <w:rsid w:val="00A44E1A"/>
    <w:rsid w:val="00A46AB4"/>
    <w:rsid w:val="00A60F57"/>
    <w:rsid w:val="00A7525A"/>
    <w:rsid w:val="00A851E2"/>
    <w:rsid w:val="00B01343"/>
    <w:rsid w:val="00B151F7"/>
    <w:rsid w:val="00B27D63"/>
    <w:rsid w:val="00B31A82"/>
    <w:rsid w:val="00B81FC3"/>
    <w:rsid w:val="00BA00E3"/>
    <w:rsid w:val="00BC0E3F"/>
    <w:rsid w:val="00BC4A47"/>
    <w:rsid w:val="00C60A63"/>
    <w:rsid w:val="00C62236"/>
    <w:rsid w:val="00C64949"/>
    <w:rsid w:val="00C84629"/>
    <w:rsid w:val="00C954AB"/>
    <w:rsid w:val="00CC795C"/>
    <w:rsid w:val="00CD72F4"/>
    <w:rsid w:val="00CF72F2"/>
    <w:rsid w:val="00D00ED4"/>
    <w:rsid w:val="00D34B90"/>
    <w:rsid w:val="00D52E05"/>
    <w:rsid w:val="00D740BA"/>
    <w:rsid w:val="00D7490A"/>
    <w:rsid w:val="00DA5954"/>
    <w:rsid w:val="00DC7BAC"/>
    <w:rsid w:val="00E050D9"/>
    <w:rsid w:val="00E354CF"/>
    <w:rsid w:val="00E432F6"/>
    <w:rsid w:val="00E44513"/>
    <w:rsid w:val="00E46748"/>
    <w:rsid w:val="00E5288F"/>
    <w:rsid w:val="00E92C7F"/>
    <w:rsid w:val="00EB2993"/>
    <w:rsid w:val="00F20CD9"/>
    <w:rsid w:val="00F46E4E"/>
    <w:rsid w:val="00F548FE"/>
    <w:rsid w:val="00F6314F"/>
    <w:rsid w:val="00FD2C11"/>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58A6B13ECDA44FBB611E3203DA1F554">
    <w:name w:val="558A6B13ECDA44FBB611E3203DA1F554"/>
    <w:rPr>
      <w:kern w:val="2"/>
      <w14:ligatures w14:val="standardContextual"/>
    </w:rPr>
  </w:style>
  <w:style w:type="character" w:styleId="PlaceholderText">
    <w:name w:val="Placeholder Text"/>
    <w:basedOn w:val="DefaultParagraphFont"/>
    <w:uiPriority w:val="99"/>
    <w:semiHidden/>
    <w:rsid w:val="00146A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MediaLengthInSeconds xmlns="aa9082ae-941c-4e01-8140-73b55c5cb5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531E6C17-3B3A-4FB7-BB6D-FB24F0D5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29</Pages>
  <Words>7629</Words>
  <Characters>43873</Characters>
  <Application>Microsoft Office Word</Application>
  <DocSecurity>0</DocSecurity>
  <Lines>1044</Lines>
  <Paragraphs>463</Paragraphs>
  <ScaleCrop>false</ScaleCrop>
  <HeadingPairs>
    <vt:vector size="2" baseType="variant">
      <vt:variant>
        <vt:lpstr>Title</vt:lpstr>
      </vt:variant>
      <vt:variant>
        <vt:i4>1</vt:i4>
      </vt:variant>
    </vt:vector>
  </HeadingPairs>
  <TitlesOfParts>
    <vt:vector size="1" baseType="lpstr">
      <vt:lpstr>ECT Programme Y2 Mentor Materials</vt:lpstr>
    </vt:vector>
  </TitlesOfParts>
  <Company/>
  <LinksUpToDate>false</LinksUpToDate>
  <CharactersWithSpaces>51039</CharactersWithSpaces>
  <SharedDoc>false</SharedDoc>
  <HLinks>
    <vt:vector size="300" baseType="variant">
      <vt:variant>
        <vt:i4>7667816</vt:i4>
      </vt:variant>
      <vt:variant>
        <vt:i4>132</vt:i4>
      </vt:variant>
      <vt:variant>
        <vt:i4>0</vt:i4>
      </vt:variant>
      <vt:variant>
        <vt:i4>5</vt:i4>
      </vt:variant>
      <vt:variant>
        <vt:lpwstr/>
      </vt:variant>
      <vt:variant>
        <vt:lpwstr>Content</vt:lpwstr>
      </vt:variant>
      <vt:variant>
        <vt:i4>7667816</vt:i4>
      </vt:variant>
      <vt:variant>
        <vt:i4>129</vt:i4>
      </vt:variant>
      <vt:variant>
        <vt:i4>0</vt:i4>
      </vt:variant>
      <vt:variant>
        <vt:i4>5</vt:i4>
      </vt:variant>
      <vt:variant>
        <vt:lpwstr/>
      </vt:variant>
      <vt:variant>
        <vt:lpwstr>Content</vt:lpwstr>
      </vt:variant>
      <vt:variant>
        <vt:i4>3670119</vt:i4>
      </vt:variant>
      <vt:variant>
        <vt:i4>126</vt:i4>
      </vt:variant>
      <vt:variant>
        <vt:i4>0</vt:i4>
      </vt:variant>
      <vt:variant>
        <vt:i4>5</vt:i4>
      </vt:variant>
      <vt:variant>
        <vt:lpwstr/>
      </vt:variant>
      <vt:variant>
        <vt:lpwstr>Reading3actions</vt:lpwstr>
      </vt:variant>
      <vt:variant>
        <vt:i4>3735655</vt:i4>
      </vt:variant>
      <vt:variant>
        <vt:i4>123</vt:i4>
      </vt:variant>
      <vt:variant>
        <vt:i4>0</vt:i4>
      </vt:variant>
      <vt:variant>
        <vt:i4>5</vt:i4>
      </vt:variant>
      <vt:variant>
        <vt:lpwstr/>
      </vt:variant>
      <vt:variant>
        <vt:lpwstr>Reading2actions</vt:lpwstr>
      </vt:variant>
      <vt:variant>
        <vt:i4>3801191</vt:i4>
      </vt:variant>
      <vt:variant>
        <vt:i4>120</vt:i4>
      </vt:variant>
      <vt:variant>
        <vt:i4>0</vt:i4>
      </vt:variant>
      <vt:variant>
        <vt:i4>5</vt:i4>
      </vt:variant>
      <vt:variant>
        <vt:lpwstr/>
      </vt:variant>
      <vt:variant>
        <vt:lpwstr>Reading1actions</vt:lpwstr>
      </vt:variant>
      <vt:variant>
        <vt:i4>7667816</vt:i4>
      </vt:variant>
      <vt:variant>
        <vt:i4>117</vt:i4>
      </vt:variant>
      <vt:variant>
        <vt:i4>0</vt:i4>
      </vt:variant>
      <vt:variant>
        <vt:i4>5</vt:i4>
      </vt:variant>
      <vt:variant>
        <vt:lpwstr/>
      </vt:variant>
      <vt:variant>
        <vt:lpwstr>Content</vt:lpwstr>
      </vt:variant>
      <vt:variant>
        <vt:i4>7667816</vt:i4>
      </vt:variant>
      <vt:variant>
        <vt:i4>114</vt:i4>
      </vt:variant>
      <vt:variant>
        <vt:i4>0</vt:i4>
      </vt:variant>
      <vt:variant>
        <vt:i4>5</vt:i4>
      </vt:variant>
      <vt:variant>
        <vt:lpwstr/>
      </vt:variant>
      <vt:variant>
        <vt:lpwstr>Content</vt:lpwstr>
      </vt:variant>
      <vt:variant>
        <vt:i4>786518</vt:i4>
      </vt:variant>
      <vt:variant>
        <vt:i4>111</vt:i4>
      </vt:variant>
      <vt:variant>
        <vt:i4>0</vt:i4>
      </vt:variant>
      <vt:variant>
        <vt:i4>5</vt:i4>
      </vt:variant>
      <vt:variant>
        <vt:lpwstr>https://www.aft.org/sites/default/files/WILLINGHAM%282%29.pdf</vt:lpwstr>
      </vt:variant>
      <vt:variant>
        <vt:lpwstr/>
      </vt:variant>
      <vt:variant>
        <vt:i4>5439566</vt:i4>
      </vt:variant>
      <vt:variant>
        <vt:i4>108</vt:i4>
      </vt:variant>
      <vt:variant>
        <vt:i4>0</vt:i4>
      </vt:variant>
      <vt:variant>
        <vt:i4>5</vt:i4>
      </vt:variant>
      <vt:variant>
        <vt:lpwstr>https://www.researchgate.net/publication/323061878_Perceived_class_climate_and_school-aged_children%27s_life_satisfaction_The_role_of_the_learning_environment_in_classrooms</vt:lpwstr>
      </vt:variant>
      <vt:variant>
        <vt:lpwstr/>
      </vt:variant>
      <vt:variant>
        <vt:i4>458770</vt:i4>
      </vt:variant>
      <vt:variant>
        <vt:i4>105</vt:i4>
      </vt:variant>
      <vt:variant>
        <vt:i4>0</vt:i4>
      </vt:variant>
      <vt:variant>
        <vt:i4>5</vt:i4>
      </vt:variant>
      <vt:variant>
        <vt:lpwstr>https://doi.org/10.1007/s11218-018-9439-9</vt:lpwstr>
      </vt:variant>
      <vt:variant>
        <vt:lpwstr/>
      </vt:variant>
      <vt:variant>
        <vt:i4>1900635</vt:i4>
      </vt:variant>
      <vt:variant>
        <vt:i4>102</vt:i4>
      </vt:variant>
      <vt:variant>
        <vt:i4>0</vt:i4>
      </vt:variant>
      <vt:variant>
        <vt:i4>5</vt:i4>
      </vt:variant>
      <vt:variant>
        <vt:lpwstr>https://doi.org/10.3102/0034654315617832</vt:lpwstr>
      </vt:variant>
      <vt:variant>
        <vt:lpwstr/>
      </vt:variant>
      <vt:variant>
        <vt:i4>4980783</vt:i4>
      </vt:variant>
      <vt:variant>
        <vt:i4>99</vt:i4>
      </vt:variant>
      <vt:variant>
        <vt:i4>0</vt:i4>
      </vt:variant>
      <vt:variant>
        <vt:i4>5</vt:i4>
      </vt:variant>
      <vt:variant>
        <vt:lpwstr>https://doi.org/10.1207/s15327957pspr0902_3</vt:lpwstr>
      </vt:variant>
      <vt:variant>
        <vt:lpwstr/>
      </vt:variant>
      <vt:variant>
        <vt:i4>917570</vt:i4>
      </vt:variant>
      <vt:variant>
        <vt:i4>96</vt:i4>
      </vt:variant>
      <vt:variant>
        <vt:i4>0</vt:i4>
      </vt:variant>
      <vt:variant>
        <vt:i4>5</vt:i4>
      </vt:variant>
      <vt:variant>
        <vt:lpwstr>https://doi.org/10.1080/15427609.2016.1164552</vt:lpwstr>
      </vt:variant>
      <vt:variant>
        <vt:lpwstr/>
      </vt:variant>
      <vt:variant>
        <vt:i4>7274518</vt:i4>
      </vt:variant>
      <vt:variant>
        <vt:i4>93</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7405626</vt:i4>
      </vt:variant>
      <vt:variant>
        <vt:i4>90</vt:i4>
      </vt:variant>
      <vt:variant>
        <vt:i4>0</vt:i4>
      </vt:variant>
      <vt:variant>
        <vt:i4>5</vt:i4>
      </vt:variant>
      <vt:variant>
        <vt:lpwstr>https://ies.ed.gov/ncee/wwc/Docs/PracticeGuide/behavior_pg_092308.pdf</vt:lpwstr>
      </vt:variant>
      <vt:variant>
        <vt:lpwstr/>
      </vt:variant>
      <vt:variant>
        <vt:i4>8257554</vt:i4>
      </vt:variant>
      <vt:variant>
        <vt:i4>87</vt:i4>
      </vt:variant>
      <vt:variant>
        <vt:i4>0</vt:i4>
      </vt:variant>
      <vt:variant>
        <vt:i4>5</vt:i4>
      </vt:variant>
      <vt:variant>
        <vt:lpwstr>https://d2tic4wvo1iusb.cloudfront.net/production/eef-guidance-reports/behaviour/EEF_Improving_behaviour_in_schools_Report.pdf</vt:lpwstr>
      </vt:variant>
      <vt:variant>
        <vt:lpwstr/>
      </vt:variant>
      <vt:variant>
        <vt:i4>3211331</vt:i4>
      </vt:variant>
      <vt:variant>
        <vt:i4>84</vt:i4>
      </vt:variant>
      <vt:variant>
        <vt:i4>0</vt:i4>
      </vt:variant>
      <vt:variant>
        <vt:i4>5</vt:i4>
      </vt:variant>
      <vt:variant>
        <vt:lpwstr>https://d2tic4wvo1iusb.cloudfront.net/production/eef-guidance-reports/feedback/Teacher_Feedback_to_Improve_Pupil_Learning.pdf</vt:lpwstr>
      </vt:variant>
      <vt:variant>
        <vt:lpwstr/>
      </vt:variant>
      <vt:variant>
        <vt:i4>3539068</vt:i4>
      </vt:variant>
      <vt:variant>
        <vt:i4>81</vt:i4>
      </vt:variant>
      <vt:variant>
        <vt:i4>0</vt:i4>
      </vt:variant>
      <vt:variant>
        <vt:i4>5</vt:i4>
      </vt:variant>
      <vt:variant>
        <vt:lpwstr>https://educationendowmentfoundation.org.uk/education-evidence/teaching-learning-toolkit/setting-and-streaming</vt:lpwstr>
      </vt:variant>
      <vt:variant>
        <vt:lpwstr/>
      </vt:variant>
      <vt:variant>
        <vt:i4>4063324</vt:i4>
      </vt:variant>
      <vt:variant>
        <vt:i4>78</vt:i4>
      </vt:variant>
      <vt:variant>
        <vt:i4>0</vt:i4>
      </vt:variant>
      <vt:variant>
        <vt:i4>5</vt:i4>
      </vt:variant>
      <vt:variant>
        <vt:lpwstr>https://insight.cumbria.ac.uk/id/eprint/3870/1/Davies_WhyIChoseTo.pdf</vt:lpwstr>
      </vt:variant>
      <vt:variant>
        <vt:lpwstr/>
      </vt:variant>
      <vt:variant>
        <vt:i4>7077944</vt:i4>
      </vt:variant>
      <vt:variant>
        <vt:i4>75</vt:i4>
      </vt:variant>
      <vt:variant>
        <vt:i4>0</vt:i4>
      </vt:variant>
      <vt:variant>
        <vt:i4>5</vt:i4>
      </vt:variant>
      <vt:variant>
        <vt:lpwstr>https://www.suttontrust.com/our-research/great-teaching/?gad_source=1&amp;gad_campaignid=20276568153&amp;gclid=CjwKCAiAwqHIBhAEEiwAx9cTeZKMrsqU_P4od31U47zPPiFVVhdQOk8WCa-NVm5X57FkUbhCMmIEOxoCYJIQAvD_BwE</vt:lpwstr>
      </vt:variant>
      <vt:variant>
        <vt:lpwstr/>
      </vt:variant>
      <vt:variant>
        <vt:i4>4915236</vt:i4>
      </vt:variant>
      <vt:variant>
        <vt:i4>72</vt:i4>
      </vt:variant>
      <vt:variant>
        <vt:i4>0</vt:i4>
      </vt:variant>
      <vt:variant>
        <vt:i4>5</vt:i4>
      </vt:variant>
      <vt:variant>
        <vt:lpwstr>https://read.oecd-ilibrary.org/education/the-nature-of-learning_9789264086487-en</vt:lpwstr>
      </vt:variant>
      <vt:variant>
        <vt:lpwstr>page93</vt:lpwstr>
      </vt:variant>
      <vt:variant>
        <vt:i4>2424874</vt:i4>
      </vt:variant>
      <vt:variant>
        <vt:i4>69</vt:i4>
      </vt:variant>
      <vt:variant>
        <vt:i4>0</vt:i4>
      </vt:variant>
      <vt:variant>
        <vt:i4>5</vt:i4>
      </vt:variant>
      <vt:variant>
        <vt:lpwstr>https://link.springer.com/article/10.1007/s11218-018-9439-9</vt:lpwstr>
      </vt:variant>
      <vt:variant>
        <vt:lpwstr/>
      </vt:variant>
      <vt:variant>
        <vt:i4>1900635</vt:i4>
      </vt:variant>
      <vt:variant>
        <vt:i4>66</vt:i4>
      </vt:variant>
      <vt:variant>
        <vt:i4>0</vt:i4>
      </vt:variant>
      <vt:variant>
        <vt:i4>5</vt:i4>
      </vt:variant>
      <vt:variant>
        <vt:lpwstr>https://doi.org/10.3102/0034654315617832</vt:lpwstr>
      </vt:variant>
      <vt:variant>
        <vt:lpwstr/>
      </vt:variant>
      <vt:variant>
        <vt:i4>4128882</vt:i4>
      </vt:variant>
      <vt:variant>
        <vt:i4>63</vt:i4>
      </vt:variant>
      <vt:variant>
        <vt:i4>0</vt:i4>
      </vt:variant>
      <vt:variant>
        <vt:i4>5</vt:i4>
      </vt:variant>
      <vt:variant>
        <vt:lpwstr>https://doi.org/10.1002/pits.20206</vt:lpwstr>
      </vt:variant>
      <vt:variant>
        <vt:lpwstr/>
      </vt:variant>
      <vt:variant>
        <vt:i4>7667816</vt:i4>
      </vt:variant>
      <vt:variant>
        <vt:i4>60</vt:i4>
      </vt:variant>
      <vt:variant>
        <vt:i4>0</vt:i4>
      </vt:variant>
      <vt:variant>
        <vt:i4>5</vt:i4>
      </vt:variant>
      <vt:variant>
        <vt:lpwstr/>
      </vt:variant>
      <vt:variant>
        <vt:lpwstr>Content</vt:lpwstr>
      </vt:variant>
      <vt:variant>
        <vt:i4>589846</vt:i4>
      </vt:variant>
      <vt:variant>
        <vt:i4>57</vt:i4>
      </vt:variant>
      <vt:variant>
        <vt:i4>0</vt:i4>
      </vt:variant>
      <vt:variant>
        <vt:i4>5</vt:i4>
      </vt:variant>
      <vt:variant>
        <vt:lpwstr/>
      </vt:variant>
      <vt:variant>
        <vt:lpwstr>Appendix2</vt:lpwstr>
      </vt:variant>
      <vt:variant>
        <vt:i4>589846</vt:i4>
      </vt:variant>
      <vt:variant>
        <vt:i4>54</vt:i4>
      </vt:variant>
      <vt:variant>
        <vt:i4>0</vt:i4>
      </vt:variant>
      <vt:variant>
        <vt:i4>5</vt:i4>
      </vt:variant>
      <vt:variant>
        <vt:lpwstr/>
      </vt:variant>
      <vt:variant>
        <vt:lpwstr>Appendix1</vt:lpwstr>
      </vt:variant>
      <vt:variant>
        <vt:i4>7667816</vt:i4>
      </vt:variant>
      <vt:variant>
        <vt:i4>51</vt:i4>
      </vt:variant>
      <vt:variant>
        <vt:i4>0</vt:i4>
      </vt:variant>
      <vt:variant>
        <vt:i4>5</vt:i4>
      </vt:variant>
      <vt:variant>
        <vt:lpwstr/>
      </vt:variant>
      <vt:variant>
        <vt:lpwstr>Content</vt:lpwstr>
      </vt:variant>
      <vt:variant>
        <vt:i4>7667816</vt:i4>
      </vt:variant>
      <vt:variant>
        <vt:i4>48</vt:i4>
      </vt:variant>
      <vt:variant>
        <vt:i4>0</vt:i4>
      </vt:variant>
      <vt:variant>
        <vt:i4>5</vt:i4>
      </vt:variant>
      <vt:variant>
        <vt:lpwstr/>
      </vt:variant>
      <vt:variant>
        <vt:lpwstr>Content</vt:lpwstr>
      </vt:variant>
      <vt:variant>
        <vt:i4>1179659</vt:i4>
      </vt:variant>
      <vt:variant>
        <vt:i4>45</vt:i4>
      </vt:variant>
      <vt:variant>
        <vt:i4>0</vt:i4>
      </vt:variant>
      <vt:variant>
        <vt:i4>5</vt:i4>
      </vt:variant>
      <vt:variant>
        <vt:lpwstr/>
      </vt:variant>
      <vt:variant>
        <vt:lpwstr>RelatedECFStatements</vt:lpwstr>
      </vt:variant>
      <vt:variant>
        <vt:i4>1179659</vt:i4>
      </vt:variant>
      <vt:variant>
        <vt:i4>42</vt:i4>
      </vt:variant>
      <vt:variant>
        <vt:i4>0</vt:i4>
      </vt:variant>
      <vt:variant>
        <vt:i4>5</vt:i4>
      </vt:variant>
      <vt:variant>
        <vt:lpwstr/>
      </vt:variant>
      <vt:variant>
        <vt:lpwstr>RelatedECFStatements</vt:lpwstr>
      </vt:variant>
      <vt:variant>
        <vt:i4>1179659</vt:i4>
      </vt:variant>
      <vt:variant>
        <vt:i4>39</vt:i4>
      </vt:variant>
      <vt:variant>
        <vt:i4>0</vt:i4>
      </vt:variant>
      <vt:variant>
        <vt:i4>5</vt:i4>
      </vt:variant>
      <vt:variant>
        <vt:lpwstr/>
      </vt:variant>
      <vt:variant>
        <vt:lpwstr>RelatedECFStatements</vt:lpwstr>
      </vt:variant>
      <vt:variant>
        <vt:i4>6029341</vt:i4>
      </vt:variant>
      <vt:variant>
        <vt:i4>36</vt:i4>
      </vt:variant>
      <vt:variant>
        <vt:i4>0</vt:i4>
      </vt:variant>
      <vt:variant>
        <vt:i4>5</vt:i4>
      </vt:variant>
      <vt:variant>
        <vt:lpwstr/>
      </vt:variant>
      <vt:variant>
        <vt:lpwstr>Reading3</vt:lpwstr>
      </vt:variant>
      <vt:variant>
        <vt:i4>6094877</vt:i4>
      </vt:variant>
      <vt:variant>
        <vt:i4>33</vt:i4>
      </vt:variant>
      <vt:variant>
        <vt:i4>0</vt:i4>
      </vt:variant>
      <vt:variant>
        <vt:i4>5</vt:i4>
      </vt:variant>
      <vt:variant>
        <vt:lpwstr/>
      </vt:variant>
      <vt:variant>
        <vt:lpwstr>Reading2</vt:lpwstr>
      </vt:variant>
      <vt:variant>
        <vt:i4>6160413</vt:i4>
      </vt:variant>
      <vt:variant>
        <vt:i4>30</vt:i4>
      </vt:variant>
      <vt:variant>
        <vt:i4>0</vt:i4>
      </vt:variant>
      <vt:variant>
        <vt:i4>5</vt:i4>
      </vt:variant>
      <vt:variant>
        <vt:lpwstr/>
      </vt:variant>
      <vt:variant>
        <vt:lpwstr>Reading1</vt:lpwstr>
      </vt:variant>
      <vt:variant>
        <vt:i4>1376274</vt:i4>
      </vt:variant>
      <vt:variant>
        <vt:i4>27</vt:i4>
      </vt:variant>
      <vt:variant>
        <vt:i4>0</vt:i4>
      </vt:variant>
      <vt:variant>
        <vt:i4>5</vt:i4>
      </vt:variant>
      <vt:variant>
        <vt:lpwstr>https://educationendowmentfoundation.org.uk/education-evidence/teaching-learning-toolkit/aspiration-interventions</vt:lpwstr>
      </vt:variant>
      <vt:variant>
        <vt:lpwstr/>
      </vt:variant>
      <vt:variant>
        <vt:i4>1376274</vt:i4>
      </vt:variant>
      <vt:variant>
        <vt:i4>24</vt:i4>
      </vt:variant>
      <vt:variant>
        <vt:i4>0</vt:i4>
      </vt:variant>
      <vt:variant>
        <vt:i4>5</vt:i4>
      </vt:variant>
      <vt:variant>
        <vt:lpwstr>https://educationendowmentfoundation.org.uk/education-evidence/teaching-learning-toolkit/aspiration-interventions</vt:lpwstr>
      </vt:variant>
      <vt:variant>
        <vt:lpwstr/>
      </vt:variant>
      <vt:variant>
        <vt:i4>589846</vt:i4>
      </vt:variant>
      <vt:variant>
        <vt:i4>21</vt:i4>
      </vt:variant>
      <vt:variant>
        <vt:i4>0</vt:i4>
      </vt:variant>
      <vt:variant>
        <vt:i4>5</vt:i4>
      </vt:variant>
      <vt:variant>
        <vt:lpwstr/>
      </vt:variant>
      <vt:variant>
        <vt:lpwstr>Appendix3</vt:lpwstr>
      </vt:variant>
      <vt:variant>
        <vt:i4>589846</vt:i4>
      </vt:variant>
      <vt:variant>
        <vt:i4>18</vt:i4>
      </vt:variant>
      <vt:variant>
        <vt:i4>0</vt:i4>
      </vt:variant>
      <vt:variant>
        <vt:i4>5</vt:i4>
      </vt:variant>
      <vt:variant>
        <vt:lpwstr/>
      </vt:variant>
      <vt:variant>
        <vt:lpwstr>Appendix2</vt:lpwstr>
      </vt:variant>
      <vt:variant>
        <vt:i4>589846</vt:i4>
      </vt:variant>
      <vt:variant>
        <vt:i4>15</vt:i4>
      </vt:variant>
      <vt:variant>
        <vt:i4>0</vt:i4>
      </vt:variant>
      <vt:variant>
        <vt:i4>5</vt:i4>
      </vt:variant>
      <vt:variant>
        <vt:lpwstr/>
      </vt:variant>
      <vt:variant>
        <vt:lpwstr>Appendix1</vt:lpwstr>
      </vt:variant>
      <vt:variant>
        <vt:i4>1179659</vt:i4>
      </vt:variant>
      <vt:variant>
        <vt:i4>12</vt:i4>
      </vt:variant>
      <vt:variant>
        <vt:i4>0</vt:i4>
      </vt:variant>
      <vt:variant>
        <vt:i4>5</vt:i4>
      </vt:variant>
      <vt:variant>
        <vt:lpwstr/>
      </vt:variant>
      <vt:variant>
        <vt:lpwstr>RelatedECFStatements</vt:lpwstr>
      </vt:variant>
      <vt:variant>
        <vt:i4>7929953</vt:i4>
      </vt:variant>
      <vt:variant>
        <vt:i4>9</vt:i4>
      </vt:variant>
      <vt:variant>
        <vt:i4>0</vt:i4>
      </vt:variant>
      <vt:variant>
        <vt:i4>5</vt:i4>
      </vt:variant>
      <vt:variant>
        <vt:lpwstr/>
      </vt:variant>
      <vt:variant>
        <vt:lpwstr>furtherreading</vt:lpwstr>
      </vt:variant>
      <vt:variant>
        <vt:i4>5046295</vt:i4>
      </vt:variant>
      <vt:variant>
        <vt:i4>6</vt:i4>
      </vt:variant>
      <vt:variant>
        <vt:i4>0</vt:i4>
      </vt:variant>
      <vt:variant>
        <vt:i4>5</vt:i4>
      </vt:variant>
      <vt:variant>
        <vt:lpwstr/>
      </vt:variant>
      <vt:variant>
        <vt:lpwstr>Section3</vt:lpwstr>
      </vt:variant>
      <vt:variant>
        <vt:i4>4980759</vt:i4>
      </vt:variant>
      <vt:variant>
        <vt:i4>3</vt:i4>
      </vt:variant>
      <vt:variant>
        <vt:i4>0</vt:i4>
      </vt:variant>
      <vt:variant>
        <vt:i4>5</vt:i4>
      </vt:variant>
      <vt:variant>
        <vt:lpwstr/>
      </vt:variant>
      <vt:variant>
        <vt:lpwstr>Section2</vt:lpwstr>
      </vt:variant>
      <vt:variant>
        <vt:i4>5177367</vt:i4>
      </vt:variant>
      <vt:variant>
        <vt:i4>0</vt:i4>
      </vt:variant>
      <vt:variant>
        <vt:i4>0</vt:i4>
      </vt:variant>
      <vt:variant>
        <vt:i4>5</vt:i4>
      </vt:variant>
      <vt:variant>
        <vt:lpwstr/>
      </vt:variant>
      <vt:variant>
        <vt:lpwstr>Section1</vt:lpwstr>
      </vt:variant>
      <vt:variant>
        <vt:i4>8323146</vt:i4>
      </vt:variant>
      <vt:variant>
        <vt:i4>12</vt:i4>
      </vt:variant>
      <vt:variant>
        <vt:i4>0</vt:i4>
      </vt:variant>
      <vt:variant>
        <vt:i4>5</vt:i4>
      </vt:variant>
      <vt:variant>
        <vt:lpwstr>mailto:r.jonas@niot.org.uk</vt:lpwstr>
      </vt:variant>
      <vt:variant>
        <vt:lpwstr/>
      </vt:variant>
      <vt:variant>
        <vt:i4>8323146</vt:i4>
      </vt:variant>
      <vt:variant>
        <vt:i4>9</vt:i4>
      </vt:variant>
      <vt:variant>
        <vt:i4>0</vt:i4>
      </vt:variant>
      <vt:variant>
        <vt:i4>5</vt:i4>
      </vt:variant>
      <vt:variant>
        <vt:lpwstr>mailto:r.jonas@niot.org.uk</vt:lpwstr>
      </vt:variant>
      <vt:variant>
        <vt:lpwstr/>
      </vt:variant>
      <vt:variant>
        <vt:i4>8323146</vt:i4>
      </vt:variant>
      <vt:variant>
        <vt:i4>6</vt:i4>
      </vt:variant>
      <vt:variant>
        <vt:i4>0</vt:i4>
      </vt:variant>
      <vt:variant>
        <vt:i4>5</vt:i4>
      </vt:variant>
      <vt:variant>
        <vt:lpwstr>mailto:r.jonas@niot.org.uk</vt:lpwstr>
      </vt:variant>
      <vt:variant>
        <vt:lpwstr/>
      </vt:variant>
      <vt:variant>
        <vt:i4>6881387</vt:i4>
      </vt:variant>
      <vt:variant>
        <vt:i4>3</vt:i4>
      </vt:variant>
      <vt:variant>
        <vt:i4>0</vt:i4>
      </vt:variant>
      <vt:variant>
        <vt:i4>5</vt:i4>
      </vt:variant>
      <vt:variant>
        <vt:lpwstr>https://nationalinstituteofteaching.h5p.com/content/1292642853146312717</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Mentor Materials</dc:title>
  <dc:subject>Subject and curriculum</dc:subject>
  <dc:creator>[</dc:creator>
  <cp:keywords/>
  <dc:description/>
  <cp:lastModifiedBy>Rosie Jonas</cp:lastModifiedBy>
  <cp:revision>1165</cp:revision>
  <dcterms:created xsi:type="dcterms:W3CDTF">2024-03-10T06:37:00Z</dcterms:created>
  <dcterms:modified xsi:type="dcterms:W3CDTF">2026-04-26T15:59:00Z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8d13faf62ede08a1f27383c1e1d06d941a20c8f861698a4864ea326f339119b9</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